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67892" w14:textId="77777777" w:rsidR="009A5FB0" w:rsidRDefault="00BF1721">
      <w:pPr>
        <w:spacing w:afterLines="100" w:after="312" w:line="540" w:lineRule="exact"/>
        <w:jc w:val="center"/>
        <w:rPr>
          <w:rFonts w:ascii="宋体" w:hAnsi="宋体" w:cs="宋体"/>
          <w:b/>
          <w:bCs/>
          <w:sz w:val="36"/>
          <w:szCs w:val="36"/>
        </w:rPr>
      </w:pPr>
      <w:r>
        <w:rPr>
          <w:rFonts w:ascii="宋体" w:hAnsi="宋体" w:cs="宋体" w:hint="eastAsia"/>
          <w:b/>
          <w:bCs/>
          <w:sz w:val="36"/>
          <w:szCs w:val="36"/>
        </w:rPr>
        <w:t>中南大学校本部研究生公寓项目（九舍）</w:t>
      </w:r>
    </w:p>
    <w:p w14:paraId="48AC6490" w14:textId="77777777" w:rsidR="009A5FB0" w:rsidRDefault="00BF1721">
      <w:pPr>
        <w:spacing w:afterLines="100" w:after="312" w:line="540" w:lineRule="exact"/>
        <w:jc w:val="center"/>
        <w:rPr>
          <w:rFonts w:ascii="宋体" w:hAnsi="宋体" w:cs="宋体"/>
          <w:b/>
          <w:sz w:val="36"/>
          <w:szCs w:val="36"/>
        </w:rPr>
      </w:pPr>
      <w:r>
        <w:rPr>
          <w:rFonts w:ascii="宋体" w:hAnsi="宋体" w:cs="宋体" w:hint="eastAsia"/>
          <w:b/>
          <w:sz w:val="36"/>
          <w:szCs w:val="36"/>
        </w:rPr>
        <w:t>工程量清单编制说明</w:t>
      </w:r>
    </w:p>
    <w:p w14:paraId="189AB4F8" w14:textId="77777777" w:rsidR="009A5FB0" w:rsidRDefault="00BF1721">
      <w:pPr>
        <w:spacing w:line="600" w:lineRule="exact"/>
        <w:ind w:firstLineChars="200" w:firstLine="562"/>
        <w:rPr>
          <w:rFonts w:ascii="宋体" w:hAnsi="宋体" w:cs="宋体"/>
          <w:b/>
          <w:bCs/>
          <w:sz w:val="28"/>
          <w:szCs w:val="28"/>
          <w:u w:val="double"/>
        </w:rPr>
      </w:pPr>
      <w:r>
        <w:rPr>
          <w:rFonts w:ascii="宋体" w:hAnsi="宋体" w:cs="宋体" w:hint="eastAsia"/>
          <w:b/>
          <w:bCs/>
          <w:sz w:val="28"/>
          <w:szCs w:val="28"/>
        </w:rPr>
        <w:t>一、工程概况</w:t>
      </w:r>
    </w:p>
    <w:p w14:paraId="021D3A9B" w14:textId="77777777" w:rsidR="009A5FB0" w:rsidRDefault="00BF1721">
      <w:pPr>
        <w:spacing w:line="600" w:lineRule="exact"/>
        <w:ind w:firstLineChars="200" w:firstLine="560"/>
        <w:rPr>
          <w:rFonts w:ascii="宋体" w:hAnsi="宋体"/>
          <w:sz w:val="28"/>
          <w:szCs w:val="28"/>
        </w:rPr>
      </w:pPr>
      <w:r>
        <w:rPr>
          <w:rFonts w:ascii="宋体" w:hAnsi="宋体" w:hint="eastAsia"/>
          <w:sz w:val="28"/>
          <w:szCs w:val="28"/>
        </w:rPr>
        <w:t>本工程为</w:t>
      </w:r>
      <w:r>
        <w:rPr>
          <w:rFonts w:ascii="宋体" w:hAnsi="宋体" w:hint="eastAsia"/>
          <w:sz w:val="28"/>
          <w:szCs w:val="28"/>
        </w:rPr>
        <w:t>中南大学校本部研究生公寓项目（九舍）</w:t>
      </w:r>
      <w:r>
        <w:rPr>
          <w:rFonts w:ascii="宋体" w:hAnsi="宋体" w:hint="eastAsia"/>
          <w:sz w:val="28"/>
          <w:szCs w:val="28"/>
        </w:rPr>
        <w:t>，主要包括</w:t>
      </w:r>
      <w:r>
        <w:rPr>
          <w:rFonts w:ascii="宋体" w:hAnsi="宋体" w:hint="eastAsia"/>
          <w:sz w:val="28"/>
          <w:szCs w:val="28"/>
        </w:rPr>
        <w:t>1</w:t>
      </w:r>
      <w:r>
        <w:rPr>
          <w:rFonts w:ascii="宋体" w:hAnsi="宋体" w:hint="eastAsia"/>
          <w:sz w:val="28"/>
          <w:szCs w:val="28"/>
        </w:rPr>
        <w:t>栋</w:t>
      </w:r>
      <w:r>
        <w:rPr>
          <w:rFonts w:ascii="宋体" w:hAnsi="宋体" w:hint="eastAsia"/>
          <w:sz w:val="28"/>
          <w:szCs w:val="28"/>
        </w:rPr>
        <w:t>研究生</w:t>
      </w:r>
      <w:r>
        <w:rPr>
          <w:rFonts w:ascii="宋体" w:hAnsi="宋体" w:hint="eastAsia"/>
          <w:sz w:val="28"/>
          <w:szCs w:val="28"/>
        </w:rPr>
        <w:t>公寓，总建筑面积</w:t>
      </w:r>
      <w:r>
        <w:rPr>
          <w:rFonts w:ascii="宋体" w:hAnsi="宋体" w:hint="eastAsia"/>
          <w:sz w:val="28"/>
          <w:szCs w:val="28"/>
        </w:rPr>
        <w:t>6385.24m2</w:t>
      </w:r>
      <w:r>
        <w:rPr>
          <w:rFonts w:ascii="宋体" w:hAnsi="宋体" w:hint="eastAsia"/>
          <w:sz w:val="28"/>
          <w:szCs w:val="28"/>
        </w:rPr>
        <w:t>，其中地上建筑面积为</w:t>
      </w:r>
      <w:r>
        <w:rPr>
          <w:rFonts w:ascii="宋体" w:hAnsi="宋体" w:hint="eastAsia"/>
          <w:sz w:val="28"/>
          <w:szCs w:val="28"/>
        </w:rPr>
        <w:t>6385.24</w:t>
      </w:r>
      <w:r>
        <w:rPr>
          <w:rFonts w:ascii="宋体" w:hAnsi="宋体" w:hint="eastAsia"/>
          <w:sz w:val="28"/>
          <w:szCs w:val="28"/>
        </w:rPr>
        <w:t>m2</w:t>
      </w:r>
      <w:r>
        <w:rPr>
          <w:rFonts w:ascii="宋体" w:hAnsi="宋体" w:hint="eastAsia"/>
          <w:sz w:val="28"/>
          <w:szCs w:val="28"/>
        </w:rPr>
        <w:t>，</w:t>
      </w:r>
      <w:r>
        <w:rPr>
          <w:rFonts w:ascii="宋体" w:hAnsi="宋体" w:hint="eastAsia"/>
          <w:sz w:val="28"/>
          <w:szCs w:val="28"/>
        </w:rPr>
        <w:t>无</w:t>
      </w:r>
      <w:r>
        <w:rPr>
          <w:rFonts w:ascii="宋体" w:hAnsi="宋体" w:hint="eastAsia"/>
          <w:sz w:val="28"/>
          <w:szCs w:val="28"/>
        </w:rPr>
        <w:t>地下室。地上</w:t>
      </w:r>
      <w:r>
        <w:rPr>
          <w:rFonts w:ascii="宋体" w:hAnsi="宋体" w:hint="eastAsia"/>
          <w:sz w:val="28"/>
          <w:szCs w:val="28"/>
        </w:rPr>
        <w:t>共</w:t>
      </w:r>
      <w:r>
        <w:rPr>
          <w:rFonts w:ascii="宋体" w:hAnsi="宋体" w:hint="eastAsia"/>
          <w:sz w:val="28"/>
          <w:szCs w:val="28"/>
        </w:rPr>
        <w:t>5</w:t>
      </w:r>
      <w:r>
        <w:rPr>
          <w:rFonts w:ascii="宋体" w:hAnsi="宋体" w:hint="eastAsia"/>
          <w:sz w:val="28"/>
          <w:szCs w:val="28"/>
        </w:rPr>
        <w:t>层，</w:t>
      </w:r>
      <w:r>
        <w:rPr>
          <w:rFonts w:ascii="宋体" w:hAnsi="宋体" w:hint="eastAsia"/>
          <w:sz w:val="28"/>
          <w:szCs w:val="28"/>
        </w:rPr>
        <w:t>层数：</w:t>
      </w:r>
      <w:r>
        <w:rPr>
          <w:rFonts w:ascii="宋体" w:hAnsi="宋体" w:hint="eastAsia"/>
          <w:sz w:val="28"/>
          <w:szCs w:val="28"/>
        </w:rPr>
        <w:t>-1+4</w:t>
      </w:r>
      <w:r>
        <w:rPr>
          <w:rFonts w:ascii="宋体" w:hAnsi="宋体" w:hint="eastAsia"/>
          <w:sz w:val="28"/>
          <w:szCs w:val="28"/>
        </w:rPr>
        <w:t>，其中</w:t>
      </w:r>
      <w:r>
        <w:rPr>
          <w:rFonts w:ascii="宋体" w:hAnsi="宋体" w:hint="eastAsia"/>
          <w:sz w:val="28"/>
          <w:szCs w:val="28"/>
        </w:rPr>
        <w:t>-1</w:t>
      </w:r>
      <w:r>
        <w:rPr>
          <w:rFonts w:ascii="宋体" w:hAnsi="宋体" w:hint="eastAsia"/>
          <w:sz w:val="28"/>
          <w:szCs w:val="28"/>
        </w:rPr>
        <w:t>层为架空层，建筑总高度为</w:t>
      </w:r>
      <w:r>
        <w:rPr>
          <w:rFonts w:ascii="宋体" w:hAnsi="宋体" w:hint="eastAsia"/>
          <w:sz w:val="28"/>
          <w:szCs w:val="28"/>
        </w:rPr>
        <w:t>16.75m</w:t>
      </w:r>
      <w:r>
        <w:rPr>
          <w:rFonts w:ascii="宋体" w:hAnsi="宋体" w:hint="eastAsia"/>
          <w:sz w:val="28"/>
          <w:szCs w:val="28"/>
        </w:rPr>
        <w:t>。</w:t>
      </w:r>
    </w:p>
    <w:p w14:paraId="365DFBBD" w14:textId="77777777" w:rsidR="009A5FB0" w:rsidRDefault="00BF1721">
      <w:pPr>
        <w:spacing w:line="600" w:lineRule="exact"/>
        <w:ind w:firstLineChars="200" w:firstLine="562"/>
        <w:rPr>
          <w:rFonts w:ascii="宋体" w:hAnsi="宋体" w:cs="宋体"/>
          <w:b/>
          <w:bCs/>
          <w:sz w:val="28"/>
          <w:szCs w:val="28"/>
        </w:rPr>
      </w:pPr>
      <w:r>
        <w:rPr>
          <w:rFonts w:ascii="宋体" w:hAnsi="宋体" w:cs="宋体" w:hint="eastAsia"/>
          <w:b/>
          <w:bCs/>
          <w:sz w:val="28"/>
          <w:szCs w:val="28"/>
        </w:rPr>
        <w:t>二、编制依据</w:t>
      </w:r>
    </w:p>
    <w:p w14:paraId="4E8F5AAD" w14:textId="77777777" w:rsidR="009A5FB0" w:rsidRDefault="00BF1721">
      <w:pPr>
        <w:numPr>
          <w:ilvl w:val="0"/>
          <w:numId w:val="1"/>
        </w:numPr>
        <w:snapToGrid w:val="0"/>
        <w:spacing w:line="336" w:lineRule="auto"/>
        <w:rPr>
          <w:rFonts w:ascii="宋体" w:hAnsi="宋体"/>
          <w:sz w:val="28"/>
          <w:szCs w:val="28"/>
        </w:rPr>
      </w:pPr>
      <w:r>
        <w:rPr>
          <w:rFonts w:ascii="宋体" w:hAnsi="宋体" w:hint="eastAsia"/>
          <w:sz w:val="28"/>
          <w:szCs w:val="28"/>
        </w:rPr>
        <w:t>委托单位提供</w:t>
      </w:r>
      <w:r>
        <w:rPr>
          <w:rFonts w:ascii="宋体" w:hAnsi="宋体" w:hint="eastAsia"/>
          <w:sz w:val="28"/>
          <w:szCs w:val="28"/>
        </w:rPr>
        <w:t>的</w:t>
      </w:r>
      <w:r>
        <w:rPr>
          <w:rFonts w:ascii="宋体" w:hAnsi="宋体" w:hint="eastAsia"/>
          <w:sz w:val="28"/>
          <w:szCs w:val="28"/>
        </w:rPr>
        <w:t>湖南视点建筑设计有限公司</w:t>
      </w:r>
      <w:r>
        <w:rPr>
          <w:rFonts w:ascii="宋体" w:hAnsi="宋体" w:hint="eastAsia"/>
          <w:sz w:val="28"/>
          <w:szCs w:val="28"/>
        </w:rPr>
        <w:t>编</w:t>
      </w:r>
      <w:r>
        <w:rPr>
          <w:rFonts w:ascii="宋体" w:hAnsi="宋体" w:hint="eastAsia"/>
          <w:sz w:val="28"/>
          <w:szCs w:val="28"/>
        </w:rPr>
        <w:t>制的</w:t>
      </w:r>
      <w:r>
        <w:rPr>
          <w:rFonts w:ascii="宋体" w:hAnsi="宋体" w:hint="eastAsia"/>
          <w:sz w:val="28"/>
          <w:szCs w:val="28"/>
        </w:rPr>
        <w:t>初步</w:t>
      </w:r>
      <w:r>
        <w:rPr>
          <w:rFonts w:ascii="宋体" w:hAnsi="宋体" w:hint="eastAsia"/>
          <w:sz w:val="28"/>
          <w:szCs w:val="28"/>
        </w:rPr>
        <w:t>设计</w:t>
      </w:r>
      <w:r>
        <w:rPr>
          <w:rFonts w:ascii="宋体" w:hAnsi="宋体" w:hint="eastAsia"/>
          <w:sz w:val="28"/>
          <w:szCs w:val="28"/>
        </w:rPr>
        <w:t>图纸</w:t>
      </w:r>
      <w:r>
        <w:rPr>
          <w:rFonts w:ascii="宋体" w:hAnsi="宋体" w:hint="eastAsia"/>
          <w:sz w:val="28"/>
          <w:szCs w:val="28"/>
        </w:rPr>
        <w:t>及其他相关文件</w:t>
      </w:r>
      <w:r>
        <w:rPr>
          <w:rFonts w:ascii="宋体" w:hAnsi="宋体" w:hint="eastAsia"/>
          <w:sz w:val="28"/>
          <w:szCs w:val="28"/>
        </w:rPr>
        <w:t>；</w:t>
      </w:r>
    </w:p>
    <w:p w14:paraId="6C968798" w14:textId="77777777" w:rsidR="009A5FB0" w:rsidRDefault="00BF1721">
      <w:pPr>
        <w:numPr>
          <w:ilvl w:val="0"/>
          <w:numId w:val="1"/>
        </w:numPr>
        <w:snapToGrid w:val="0"/>
        <w:spacing w:line="336" w:lineRule="auto"/>
        <w:rPr>
          <w:rFonts w:ascii="宋体" w:hAnsi="宋体"/>
          <w:sz w:val="28"/>
          <w:szCs w:val="28"/>
        </w:rPr>
      </w:pPr>
      <w:r>
        <w:rPr>
          <w:rFonts w:ascii="宋体" w:hAnsi="宋体" w:hint="eastAsia"/>
          <w:sz w:val="28"/>
          <w:szCs w:val="28"/>
        </w:rPr>
        <w:t>湘建价</w:t>
      </w:r>
      <w:r>
        <w:rPr>
          <w:rFonts w:ascii="宋体" w:hAnsi="宋体" w:hint="eastAsia"/>
          <w:sz w:val="28"/>
          <w:szCs w:val="28"/>
        </w:rPr>
        <w:t>[2020]56</w:t>
      </w:r>
      <w:r>
        <w:rPr>
          <w:rFonts w:ascii="宋体" w:hAnsi="宋体" w:hint="eastAsia"/>
          <w:sz w:val="28"/>
          <w:szCs w:val="28"/>
        </w:rPr>
        <w:t>号关于印发</w:t>
      </w:r>
      <w:r>
        <w:rPr>
          <w:rFonts w:ascii="宋体" w:hAnsi="宋体" w:hint="eastAsia"/>
          <w:sz w:val="28"/>
          <w:szCs w:val="28"/>
        </w:rPr>
        <w:t>2020</w:t>
      </w:r>
      <w:r>
        <w:rPr>
          <w:rFonts w:ascii="宋体" w:hAnsi="宋体" w:hint="eastAsia"/>
          <w:sz w:val="28"/>
          <w:szCs w:val="28"/>
        </w:rPr>
        <w:t>《湖南省建设工程计价办法》及《湖南省建设工程消耗量标准》的通知；</w:t>
      </w:r>
    </w:p>
    <w:p w14:paraId="65DCCFDF" w14:textId="77777777" w:rsidR="009A5FB0" w:rsidRDefault="00BF1721">
      <w:pPr>
        <w:numPr>
          <w:ilvl w:val="0"/>
          <w:numId w:val="1"/>
        </w:numPr>
        <w:snapToGrid w:val="0"/>
        <w:spacing w:line="336" w:lineRule="auto"/>
        <w:rPr>
          <w:rFonts w:ascii="宋体" w:hAnsi="宋体"/>
          <w:sz w:val="28"/>
          <w:szCs w:val="28"/>
        </w:rPr>
      </w:pPr>
      <w:r>
        <w:rPr>
          <w:rFonts w:ascii="宋体" w:hAnsi="宋体" w:hint="eastAsia"/>
          <w:sz w:val="28"/>
          <w:szCs w:val="28"/>
        </w:rPr>
        <w:t>2020</w:t>
      </w:r>
      <w:r>
        <w:rPr>
          <w:rFonts w:ascii="宋体" w:hAnsi="宋体" w:hint="eastAsia"/>
          <w:sz w:val="28"/>
          <w:szCs w:val="28"/>
        </w:rPr>
        <w:t>年湖南省建设工程计价办法及消耗量标准（交底资料）；</w:t>
      </w:r>
    </w:p>
    <w:p w14:paraId="631F8F60" w14:textId="77777777" w:rsidR="009A5FB0" w:rsidRDefault="00BF1721">
      <w:pPr>
        <w:numPr>
          <w:ilvl w:val="0"/>
          <w:numId w:val="1"/>
        </w:numPr>
        <w:snapToGrid w:val="0"/>
        <w:spacing w:line="336" w:lineRule="auto"/>
        <w:rPr>
          <w:rFonts w:ascii="宋体" w:hAnsi="宋体"/>
          <w:sz w:val="28"/>
          <w:szCs w:val="28"/>
        </w:rPr>
      </w:pPr>
      <w:r>
        <w:rPr>
          <w:rFonts w:ascii="宋体" w:hAnsi="宋体" w:hint="eastAsia"/>
          <w:sz w:val="28"/>
          <w:szCs w:val="28"/>
        </w:rPr>
        <w:t>湘建价市</w:t>
      </w:r>
      <w:r>
        <w:rPr>
          <w:rFonts w:ascii="宋体" w:hAnsi="宋体" w:hint="eastAsia"/>
          <w:sz w:val="28"/>
          <w:szCs w:val="28"/>
        </w:rPr>
        <w:t>[2020]46</w:t>
      </w:r>
      <w:r>
        <w:rPr>
          <w:rFonts w:ascii="宋体" w:hAnsi="宋体" w:hint="eastAsia"/>
          <w:sz w:val="28"/>
          <w:szCs w:val="28"/>
        </w:rPr>
        <w:t>号《湖南省建设工程造价管理总站关于机械费调整及有关问题的通知》；</w:t>
      </w:r>
    </w:p>
    <w:p w14:paraId="4CCC4F42" w14:textId="77777777" w:rsidR="009A5FB0" w:rsidRDefault="00BF1721">
      <w:pPr>
        <w:numPr>
          <w:ilvl w:val="0"/>
          <w:numId w:val="1"/>
        </w:numPr>
        <w:snapToGrid w:val="0"/>
        <w:spacing w:line="336" w:lineRule="auto"/>
        <w:rPr>
          <w:rFonts w:ascii="宋体" w:hAnsi="宋体"/>
          <w:sz w:val="28"/>
          <w:szCs w:val="28"/>
        </w:rPr>
      </w:pPr>
      <w:r>
        <w:rPr>
          <w:rFonts w:ascii="宋体" w:hAnsi="宋体" w:hint="eastAsia"/>
          <w:sz w:val="28"/>
          <w:szCs w:val="28"/>
        </w:rPr>
        <w:t>现行国家和有关部门颁发的建筑安装工程施工及验收规范、质量评定标准、安全技术操作规程、标准图集；</w:t>
      </w:r>
    </w:p>
    <w:p w14:paraId="55097AB5" w14:textId="77777777" w:rsidR="009A5FB0" w:rsidRDefault="00BF1721">
      <w:pPr>
        <w:numPr>
          <w:ilvl w:val="0"/>
          <w:numId w:val="1"/>
        </w:numPr>
        <w:snapToGrid w:val="0"/>
        <w:spacing w:line="336" w:lineRule="auto"/>
        <w:rPr>
          <w:rFonts w:ascii="宋体" w:hAnsi="宋体"/>
          <w:sz w:val="28"/>
          <w:szCs w:val="28"/>
        </w:rPr>
      </w:pPr>
      <w:r>
        <w:rPr>
          <w:rFonts w:ascii="宋体" w:hAnsi="宋体" w:hint="eastAsia"/>
          <w:sz w:val="28"/>
          <w:szCs w:val="28"/>
        </w:rPr>
        <w:t>施工现场情况、工程特点及常规施工方案；</w:t>
      </w:r>
    </w:p>
    <w:p w14:paraId="67B54286" w14:textId="77777777" w:rsidR="009A5FB0" w:rsidRDefault="00BF1721">
      <w:pPr>
        <w:numPr>
          <w:ilvl w:val="0"/>
          <w:numId w:val="1"/>
        </w:numPr>
        <w:snapToGrid w:val="0"/>
        <w:spacing w:line="336" w:lineRule="auto"/>
        <w:rPr>
          <w:rFonts w:ascii="宋体" w:hAnsi="宋体"/>
          <w:sz w:val="28"/>
          <w:szCs w:val="28"/>
        </w:rPr>
      </w:pPr>
      <w:r>
        <w:rPr>
          <w:rFonts w:ascii="宋体" w:hAnsi="宋体" w:hint="eastAsia"/>
          <w:sz w:val="28"/>
          <w:szCs w:val="28"/>
        </w:rPr>
        <w:t>材料定价由投标人按市场行情自行报价。</w:t>
      </w:r>
    </w:p>
    <w:p w14:paraId="2FC6078A" w14:textId="77777777" w:rsidR="009A5FB0" w:rsidRDefault="00BF1721">
      <w:pPr>
        <w:numPr>
          <w:ilvl w:val="0"/>
          <w:numId w:val="2"/>
        </w:numPr>
        <w:snapToGrid w:val="0"/>
        <w:spacing w:line="336" w:lineRule="auto"/>
        <w:ind w:firstLineChars="200" w:firstLine="562"/>
        <w:rPr>
          <w:rFonts w:ascii="宋体" w:hAnsi="宋体"/>
          <w:b/>
          <w:bCs/>
          <w:sz w:val="28"/>
          <w:szCs w:val="28"/>
        </w:rPr>
      </w:pPr>
      <w:r>
        <w:rPr>
          <w:rFonts w:ascii="宋体" w:hAnsi="宋体" w:hint="eastAsia"/>
          <w:b/>
          <w:bCs/>
          <w:sz w:val="28"/>
          <w:szCs w:val="28"/>
        </w:rPr>
        <w:t>工程承包</w:t>
      </w:r>
      <w:r>
        <w:rPr>
          <w:rFonts w:ascii="宋体" w:hAnsi="宋体" w:hint="eastAsia"/>
          <w:b/>
          <w:bCs/>
          <w:sz w:val="28"/>
          <w:szCs w:val="28"/>
        </w:rPr>
        <w:t>范围</w:t>
      </w:r>
    </w:p>
    <w:p w14:paraId="5B1C1272" w14:textId="77777777" w:rsidR="009A5FB0" w:rsidRDefault="00BF1721">
      <w:pPr>
        <w:snapToGrid w:val="0"/>
        <w:spacing w:line="336" w:lineRule="auto"/>
        <w:ind w:firstLineChars="200" w:firstLine="560"/>
        <w:rPr>
          <w:rFonts w:ascii="宋体" w:hAnsi="宋体"/>
          <w:sz w:val="28"/>
          <w:szCs w:val="28"/>
        </w:rPr>
      </w:pPr>
      <w:r>
        <w:rPr>
          <w:rFonts w:ascii="宋体" w:hAnsi="宋体" w:hint="eastAsia"/>
          <w:sz w:val="28"/>
          <w:szCs w:val="28"/>
        </w:rPr>
        <w:t>工程承包范围：本项目的总承包，包括下列</w:t>
      </w:r>
      <w:r>
        <w:rPr>
          <w:rFonts w:ascii="宋体" w:hAnsi="宋体" w:hint="eastAsia"/>
          <w:sz w:val="28"/>
          <w:szCs w:val="28"/>
        </w:rPr>
        <w:t>4</w:t>
      </w:r>
      <w:r>
        <w:rPr>
          <w:rFonts w:ascii="宋体" w:hAnsi="宋体" w:hint="eastAsia"/>
          <w:sz w:val="28"/>
          <w:szCs w:val="28"/>
        </w:rPr>
        <w:t>个部分：</w:t>
      </w:r>
      <w:r>
        <w:rPr>
          <w:rFonts w:ascii="宋体" w:hAnsi="宋体" w:hint="eastAsia"/>
          <w:sz w:val="28"/>
          <w:szCs w:val="28"/>
        </w:rPr>
        <w:t> </w:t>
      </w:r>
    </w:p>
    <w:p w14:paraId="5EFC8D08" w14:textId="77777777" w:rsidR="009A5FB0" w:rsidRDefault="00BF1721">
      <w:pPr>
        <w:snapToGrid w:val="0"/>
        <w:spacing w:line="336" w:lineRule="auto"/>
        <w:ind w:firstLineChars="200" w:firstLine="560"/>
        <w:rPr>
          <w:rFonts w:ascii="宋体" w:hAnsi="宋体"/>
          <w:sz w:val="28"/>
          <w:szCs w:val="28"/>
        </w:rPr>
      </w:pPr>
      <w:r>
        <w:rPr>
          <w:rFonts w:ascii="宋体" w:hAnsi="宋体" w:hint="eastAsia"/>
          <w:sz w:val="28"/>
          <w:szCs w:val="28"/>
        </w:rPr>
        <w:t>第一部分：设计</w:t>
      </w:r>
    </w:p>
    <w:p w14:paraId="19BB6225" w14:textId="77777777" w:rsidR="009A5FB0" w:rsidRDefault="00BF1721">
      <w:pPr>
        <w:snapToGrid w:val="0"/>
        <w:spacing w:line="336" w:lineRule="auto"/>
        <w:ind w:firstLineChars="200" w:firstLine="560"/>
        <w:rPr>
          <w:rFonts w:ascii="宋体" w:hAnsi="宋体"/>
          <w:sz w:val="28"/>
          <w:szCs w:val="28"/>
        </w:rPr>
      </w:pPr>
      <w:r>
        <w:rPr>
          <w:rFonts w:ascii="宋体" w:hAnsi="宋体" w:hint="eastAsia"/>
          <w:sz w:val="28"/>
          <w:szCs w:val="28"/>
        </w:rPr>
        <w:t>本项目的初步设计于</w:t>
      </w:r>
      <w:r>
        <w:rPr>
          <w:rFonts w:ascii="宋体" w:hAnsi="宋体" w:hint="eastAsia"/>
          <w:sz w:val="28"/>
          <w:szCs w:val="28"/>
        </w:rPr>
        <w:t>2021</w:t>
      </w:r>
      <w:r>
        <w:rPr>
          <w:rFonts w:ascii="宋体" w:hAnsi="宋体" w:hint="eastAsia"/>
          <w:sz w:val="28"/>
          <w:szCs w:val="28"/>
        </w:rPr>
        <w:t>年</w:t>
      </w:r>
      <w:r>
        <w:rPr>
          <w:rFonts w:ascii="宋体" w:hAnsi="宋体" w:hint="eastAsia"/>
          <w:sz w:val="28"/>
          <w:szCs w:val="28"/>
        </w:rPr>
        <w:t>07</w:t>
      </w:r>
      <w:r>
        <w:rPr>
          <w:rFonts w:ascii="宋体" w:hAnsi="宋体" w:hint="eastAsia"/>
          <w:sz w:val="28"/>
          <w:szCs w:val="28"/>
        </w:rPr>
        <w:t>月</w:t>
      </w:r>
      <w:r>
        <w:rPr>
          <w:rFonts w:ascii="宋体" w:hAnsi="宋体" w:hint="eastAsia"/>
          <w:sz w:val="28"/>
          <w:szCs w:val="28"/>
        </w:rPr>
        <w:t>14</w:t>
      </w:r>
      <w:r>
        <w:rPr>
          <w:rFonts w:ascii="宋体" w:hAnsi="宋体" w:hint="eastAsia"/>
          <w:sz w:val="28"/>
          <w:szCs w:val="28"/>
        </w:rPr>
        <w:t>日通过湖南湘江新区管理委员会住建环保局的初步设计审查，取得了编号为：湘新建发（直投）</w:t>
      </w:r>
      <w:r>
        <w:rPr>
          <w:rFonts w:ascii="宋体" w:hAnsi="宋体" w:hint="eastAsia"/>
          <w:sz w:val="28"/>
          <w:szCs w:val="28"/>
        </w:rPr>
        <w:t>[2021]39</w:t>
      </w:r>
      <w:r>
        <w:rPr>
          <w:rFonts w:ascii="宋体" w:hAnsi="宋体" w:hint="eastAsia"/>
          <w:sz w:val="28"/>
          <w:szCs w:val="28"/>
        </w:rPr>
        <w:t>号的初步设计批复。</w:t>
      </w:r>
    </w:p>
    <w:p w14:paraId="44B0F10B" w14:textId="77777777" w:rsidR="009A5FB0" w:rsidRDefault="00BF1721">
      <w:pPr>
        <w:snapToGrid w:val="0"/>
        <w:spacing w:line="336" w:lineRule="auto"/>
        <w:ind w:firstLineChars="200" w:firstLine="560"/>
        <w:rPr>
          <w:rFonts w:ascii="宋体" w:hAnsi="宋体"/>
          <w:sz w:val="28"/>
          <w:szCs w:val="28"/>
        </w:rPr>
      </w:pPr>
      <w:r>
        <w:rPr>
          <w:rFonts w:ascii="宋体" w:hAnsi="宋体" w:hint="eastAsia"/>
          <w:sz w:val="28"/>
          <w:szCs w:val="28"/>
        </w:rPr>
        <w:lastRenderedPageBreak/>
        <w:t>基于经批复的初步设计，招标人（发包人）根据学生公寓的功能需求、品质需求，对本项目的功能、品质用多种方式（包括但不限文字、效果图、图纸、工程量清单、公证书）进行了详细的描述和定义，并将这些内容放入招标文件的《发包人文件》之中。</w:t>
      </w:r>
    </w:p>
    <w:p w14:paraId="531C1766" w14:textId="77777777" w:rsidR="009A5FB0" w:rsidRDefault="00BF1721">
      <w:pPr>
        <w:snapToGrid w:val="0"/>
        <w:spacing w:line="336" w:lineRule="auto"/>
        <w:ind w:firstLineChars="200" w:firstLine="560"/>
        <w:rPr>
          <w:rFonts w:ascii="宋体" w:hAnsi="宋体"/>
          <w:sz w:val="28"/>
          <w:szCs w:val="28"/>
        </w:rPr>
      </w:pPr>
      <w:r>
        <w:rPr>
          <w:rFonts w:ascii="宋体" w:hAnsi="宋体" w:hint="eastAsia"/>
          <w:sz w:val="28"/>
          <w:szCs w:val="28"/>
        </w:rPr>
        <w:t>作为有经验的承包商，投标人（中标人、承包人）遵循基准日（开标</w:t>
      </w:r>
      <w:r>
        <w:rPr>
          <w:rFonts w:ascii="宋体" w:hAnsi="宋体" w:hint="eastAsia"/>
          <w:sz w:val="28"/>
          <w:szCs w:val="28"/>
        </w:rPr>
        <w:t>日前第</w:t>
      </w:r>
      <w:r>
        <w:rPr>
          <w:rFonts w:ascii="宋体" w:hAnsi="宋体" w:hint="eastAsia"/>
          <w:sz w:val="28"/>
          <w:szCs w:val="28"/>
        </w:rPr>
        <w:t>28</w:t>
      </w:r>
      <w:r>
        <w:rPr>
          <w:rFonts w:ascii="宋体" w:hAnsi="宋体" w:hint="eastAsia"/>
          <w:sz w:val="28"/>
          <w:szCs w:val="28"/>
        </w:rPr>
        <w:t>天）已经生效，或，已经颁布即将生效的法律、法规、规范、标准、政策性文件，基于经批复的初步设计和发包人在《发包人文件》中的对功能、品质的描述和定义，在投标阶段完成覆盖所需各专业的达到《建筑工程设计文件编制深度规定（</w:t>
      </w:r>
      <w:r>
        <w:rPr>
          <w:rFonts w:ascii="宋体" w:hAnsi="宋体" w:hint="eastAsia"/>
          <w:sz w:val="28"/>
          <w:szCs w:val="28"/>
        </w:rPr>
        <w:t>2016</w:t>
      </w:r>
      <w:r>
        <w:rPr>
          <w:rFonts w:ascii="宋体" w:hAnsi="宋体" w:hint="eastAsia"/>
          <w:sz w:val="28"/>
          <w:szCs w:val="28"/>
        </w:rPr>
        <w:t>版）》规定的施工图设计深度的施工图，将所有施工图，按照湖南省住房和城乡建设厅《湖南省施工图管理信息系统》（局部更新见该网站</w:t>
      </w:r>
      <w:r>
        <w:rPr>
          <w:rFonts w:ascii="宋体" w:hAnsi="宋体" w:hint="eastAsia"/>
          <w:sz w:val="28"/>
          <w:szCs w:val="28"/>
        </w:rPr>
        <w:t>2021</w:t>
      </w:r>
      <w:r>
        <w:rPr>
          <w:rFonts w:ascii="宋体" w:hAnsi="宋体" w:hint="eastAsia"/>
          <w:sz w:val="28"/>
          <w:szCs w:val="28"/>
        </w:rPr>
        <w:t>年</w:t>
      </w:r>
      <w:r>
        <w:rPr>
          <w:rFonts w:ascii="宋体" w:hAnsi="宋体" w:hint="eastAsia"/>
          <w:sz w:val="28"/>
          <w:szCs w:val="28"/>
        </w:rPr>
        <w:t>6</w:t>
      </w:r>
      <w:r>
        <w:rPr>
          <w:rFonts w:ascii="宋体" w:hAnsi="宋体" w:hint="eastAsia"/>
          <w:sz w:val="28"/>
          <w:szCs w:val="28"/>
        </w:rPr>
        <w:t>月</w:t>
      </w:r>
      <w:r>
        <w:rPr>
          <w:rFonts w:ascii="宋体" w:hAnsi="宋体" w:hint="eastAsia"/>
          <w:sz w:val="28"/>
          <w:szCs w:val="28"/>
        </w:rPr>
        <w:t>29</w:t>
      </w:r>
      <w:r>
        <w:rPr>
          <w:rFonts w:ascii="宋体" w:hAnsi="宋体" w:hint="eastAsia"/>
          <w:sz w:val="28"/>
          <w:szCs w:val="28"/>
        </w:rPr>
        <w:t>日更新公告）的《施工图设计文件》的分类要求，作为投标文件的必须组成部分提交，投标人必须将有关的成本、费用、利润、税金全部包含在投标报价中。</w:t>
      </w:r>
    </w:p>
    <w:p w14:paraId="77BA8D2D" w14:textId="77777777" w:rsidR="009A5FB0" w:rsidRDefault="00BF1721">
      <w:pPr>
        <w:snapToGrid w:val="0"/>
        <w:spacing w:line="336" w:lineRule="auto"/>
        <w:ind w:firstLineChars="200" w:firstLine="560"/>
        <w:rPr>
          <w:rFonts w:ascii="宋体" w:hAnsi="宋体"/>
          <w:sz w:val="28"/>
          <w:szCs w:val="28"/>
        </w:rPr>
      </w:pPr>
      <w:r>
        <w:rPr>
          <w:rFonts w:ascii="宋体" w:hAnsi="宋体" w:hint="eastAsia"/>
          <w:sz w:val="28"/>
          <w:szCs w:val="28"/>
        </w:rPr>
        <w:t>设</w:t>
      </w:r>
      <w:r>
        <w:rPr>
          <w:rFonts w:ascii="宋体" w:hAnsi="宋体" w:hint="eastAsia"/>
          <w:sz w:val="28"/>
          <w:szCs w:val="28"/>
        </w:rPr>
        <w:t>计至少包括下列专业、内容：机械土石方工程、建筑工程、装饰工程、给排水工程、热水系统、消防工程、电气工程、消防电气工程、弱电工程、防排烟工程、室外挡墙工程、室外道路工程、室外景观铺装工程、室外绿化工程、室外给水工程、室外电气工程、室外弱电工程、室外排水及其他附属工程、抗震支架、工艺深化设计、绿色建筑设计（二星标识）</w:t>
      </w:r>
    </w:p>
    <w:p w14:paraId="4AC6F17B" w14:textId="77777777" w:rsidR="009A5FB0" w:rsidRDefault="00BF1721">
      <w:pPr>
        <w:snapToGrid w:val="0"/>
        <w:spacing w:line="336" w:lineRule="auto"/>
        <w:ind w:firstLineChars="200" w:firstLine="560"/>
        <w:rPr>
          <w:rFonts w:ascii="宋体" w:hAnsi="宋体"/>
          <w:sz w:val="28"/>
          <w:szCs w:val="28"/>
        </w:rPr>
      </w:pPr>
      <w:r>
        <w:rPr>
          <w:rFonts w:ascii="宋体" w:hAnsi="宋体" w:hint="eastAsia"/>
          <w:sz w:val="28"/>
          <w:szCs w:val="28"/>
        </w:rPr>
        <w:t>第二部分：采购</w:t>
      </w:r>
    </w:p>
    <w:p w14:paraId="4D2AD885" w14:textId="77777777" w:rsidR="009A5FB0" w:rsidRDefault="00BF1721">
      <w:pPr>
        <w:snapToGrid w:val="0"/>
        <w:spacing w:line="336" w:lineRule="auto"/>
        <w:ind w:firstLineChars="200" w:firstLine="560"/>
        <w:rPr>
          <w:rFonts w:ascii="宋体" w:hAnsi="宋体"/>
          <w:sz w:val="28"/>
          <w:szCs w:val="28"/>
        </w:rPr>
      </w:pPr>
      <w:r>
        <w:rPr>
          <w:rFonts w:ascii="宋体" w:hAnsi="宋体" w:hint="eastAsia"/>
          <w:sz w:val="28"/>
          <w:szCs w:val="28"/>
        </w:rPr>
        <w:t>采购本项目所需要的设备、材料、服务，包括但不限于知识产权在招标文件约定的使用期限（如果有的话）内归属招标人（发包人）的使用权。作为有经验的承包商，投标人必须将有关的成本、费用、利润</w:t>
      </w:r>
      <w:r>
        <w:rPr>
          <w:rFonts w:ascii="宋体" w:hAnsi="宋体" w:hint="eastAsia"/>
          <w:sz w:val="28"/>
          <w:szCs w:val="28"/>
        </w:rPr>
        <w:t>、税金全部包含在投标报价中。</w:t>
      </w:r>
    </w:p>
    <w:p w14:paraId="7FC1422D" w14:textId="77777777" w:rsidR="009A5FB0" w:rsidRDefault="00BF1721">
      <w:pPr>
        <w:snapToGrid w:val="0"/>
        <w:spacing w:line="336" w:lineRule="auto"/>
        <w:ind w:firstLineChars="200" w:firstLine="560"/>
        <w:rPr>
          <w:rFonts w:ascii="宋体" w:hAnsi="宋体"/>
          <w:sz w:val="28"/>
          <w:szCs w:val="28"/>
        </w:rPr>
      </w:pPr>
      <w:r>
        <w:rPr>
          <w:rFonts w:ascii="宋体" w:hAnsi="宋体" w:hint="eastAsia"/>
          <w:sz w:val="28"/>
          <w:szCs w:val="28"/>
        </w:rPr>
        <w:t>第三部分：施工</w:t>
      </w:r>
    </w:p>
    <w:p w14:paraId="3414ACB6" w14:textId="77777777" w:rsidR="009A5FB0" w:rsidRDefault="00BF1721">
      <w:pPr>
        <w:snapToGrid w:val="0"/>
        <w:spacing w:line="336" w:lineRule="auto"/>
        <w:ind w:firstLineChars="200" w:firstLine="560"/>
        <w:rPr>
          <w:rFonts w:ascii="宋体" w:hAnsi="宋体"/>
          <w:sz w:val="28"/>
          <w:szCs w:val="28"/>
        </w:rPr>
      </w:pPr>
      <w:r>
        <w:rPr>
          <w:rFonts w:ascii="宋体" w:hAnsi="宋体" w:hint="eastAsia"/>
          <w:sz w:val="28"/>
          <w:szCs w:val="28"/>
        </w:rPr>
        <w:t>负责以安全的方式开展施工，实现全部图纸（包括但不限于招标</w:t>
      </w:r>
      <w:r>
        <w:rPr>
          <w:rFonts w:ascii="宋体" w:hAnsi="宋体" w:hint="eastAsia"/>
          <w:sz w:val="28"/>
          <w:szCs w:val="28"/>
        </w:rPr>
        <w:lastRenderedPageBreak/>
        <w:t>文件、招标文件中约定由投标人（中标人、承包人）完成设计的图纸、招标工程量清单、公证书）联合确定的功能与品质，施工质量达到合格标准。作为有经验的承包商，投标人必须将有关的成本、费用、利润、税金全部包含在投标报价中，包括但不限于：施工、检测、监测、试验、实验、家具制安。</w:t>
      </w:r>
    </w:p>
    <w:p w14:paraId="18329F68" w14:textId="77777777" w:rsidR="009A5FB0" w:rsidRDefault="00BF1721">
      <w:pPr>
        <w:snapToGrid w:val="0"/>
        <w:spacing w:line="336" w:lineRule="auto"/>
        <w:ind w:firstLineChars="200" w:firstLine="560"/>
        <w:rPr>
          <w:rFonts w:ascii="宋体" w:hAnsi="宋体"/>
          <w:sz w:val="28"/>
          <w:szCs w:val="28"/>
        </w:rPr>
      </w:pPr>
      <w:r>
        <w:rPr>
          <w:rFonts w:ascii="宋体" w:hAnsi="宋体" w:hint="eastAsia"/>
          <w:sz w:val="28"/>
          <w:szCs w:val="28"/>
        </w:rPr>
        <w:t>第四部分：综合</w:t>
      </w:r>
    </w:p>
    <w:p w14:paraId="691A11B9" w14:textId="77777777" w:rsidR="009A5FB0" w:rsidRDefault="00BF1721">
      <w:pPr>
        <w:snapToGrid w:val="0"/>
        <w:spacing w:line="336" w:lineRule="auto"/>
        <w:ind w:firstLineChars="200" w:firstLine="560"/>
        <w:rPr>
          <w:rFonts w:ascii="宋体" w:hAnsi="宋体"/>
          <w:sz w:val="28"/>
          <w:szCs w:val="28"/>
        </w:rPr>
      </w:pPr>
      <w:r>
        <w:rPr>
          <w:rFonts w:ascii="宋体" w:hAnsi="宋体" w:hint="eastAsia"/>
          <w:sz w:val="28"/>
          <w:szCs w:val="28"/>
        </w:rPr>
        <w:t>投标人（中标人、承包人）按基准日已经生效的，或，已经颁布即将生效的法律、法规、规范、标准、政策性文件，所应承担的各种工作。</w:t>
      </w:r>
    </w:p>
    <w:p w14:paraId="2826E836" w14:textId="77777777" w:rsidR="009A5FB0" w:rsidRDefault="00BF1721">
      <w:pPr>
        <w:snapToGrid w:val="0"/>
        <w:spacing w:line="336" w:lineRule="auto"/>
        <w:ind w:firstLineChars="200" w:firstLine="560"/>
        <w:rPr>
          <w:rFonts w:ascii="宋体" w:hAnsi="宋体"/>
          <w:sz w:val="28"/>
          <w:szCs w:val="28"/>
        </w:rPr>
      </w:pPr>
      <w:r>
        <w:rPr>
          <w:rFonts w:ascii="宋体" w:hAnsi="宋体" w:hint="eastAsia"/>
          <w:sz w:val="28"/>
          <w:szCs w:val="28"/>
        </w:rPr>
        <w:t>招标人（发包人）按基准日期已经生效的，或，已经颁</w:t>
      </w:r>
      <w:r>
        <w:rPr>
          <w:rFonts w:ascii="宋体" w:hAnsi="宋体" w:hint="eastAsia"/>
          <w:sz w:val="28"/>
          <w:szCs w:val="28"/>
        </w:rPr>
        <w:t>布即将生效的法律、法规、规范、标准、政策性文件，所应承担的所有检测、检测、试验、实验、许可、批准或备案，包括但不限于本项目的所有报批、报建、验收、备案、办理不动产权证、取得绿建二星标识，均为承包人的工作内容。承包人必须将完成这些工作所需的成本、费用、利润、税金全部包含在投标报价中。完成这些工作，涉及到许可、审批、备案的政府部门、机关、单位、企业，包括但不限于规划、国土、房产、消防、园林、城管、住建、人防、气象防雷、劳动、岳麓山风景区管理局、文物、水务、排水、自来水、电力、燃气、地铁、档案等，均由投标人（中标</w:t>
      </w:r>
      <w:r>
        <w:rPr>
          <w:rFonts w:ascii="宋体" w:hAnsi="宋体" w:hint="eastAsia"/>
          <w:sz w:val="28"/>
          <w:szCs w:val="28"/>
        </w:rPr>
        <w:t>人、承包人）负责联络、沟通、办理。政府性单位向招标人</w:t>
      </w:r>
      <w:r>
        <w:rPr>
          <w:rFonts w:ascii="宋体" w:hAnsi="宋体" w:hint="eastAsia"/>
          <w:sz w:val="28"/>
          <w:szCs w:val="28"/>
        </w:rPr>
        <w:t>/</w:t>
      </w:r>
      <w:r>
        <w:rPr>
          <w:rFonts w:ascii="宋体" w:hAnsi="宋体" w:hint="eastAsia"/>
          <w:sz w:val="28"/>
          <w:szCs w:val="28"/>
        </w:rPr>
        <w:t>发包人开具政府性非税收入收据或发票的政府性收费，由招标人（发包人）支付费用，其余均应包含在投标报价中。由于投标人（中标人、承包人）未能及时办理各种报批报建手续导致的政府部门开具的罚款（含滞纳金）由投标人（中标人、承包人）承担。</w:t>
      </w:r>
    </w:p>
    <w:p w14:paraId="77A718B6" w14:textId="77777777" w:rsidR="009A5FB0" w:rsidRDefault="00BF1721">
      <w:pPr>
        <w:snapToGrid w:val="0"/>
        <w:spacing w:line="336" w:lineRule="auto"/>
        <w:ind w:firstLineChars="200" w:firstLine="562"/>
        <w:rPr>
          <w:rFonts w:ascii="宋体" w:hAnsi="宋体"/>
          <w:b/>
          <w:bCs/>
          <w:sz w:val="28"/>
          <w:szCs w:val="28"/>
        </w:rPr>
      </w:pPr>
      <w:r>
        <w:rPr>
          <w:rFonts w:ascii="宋体" w:hAnsi="宋体" w:hint="eastAsia"/>
          <w:b/>
          <w:bCs/>
          <w:sz w:val="28"/>
          <w:szCs w:val="28"/>
        </w:rPr>
        <w:t>四、其它说明</w:t>
      </w:r>
      <w:r>
        <w:rPr>
          <w:rFonts w:ascii="宋体" w:hAnsi="宋体" w:hint="eastAsia"/>
          <w:b/>
          <w:bCs/>
          <w:sz w:val="28"/>
          <w:szCs w:val="28"/>
        </w:rPr>
        <w:t xml:space="preserve">  </w:t>
      </w:r>
    </w:p>
    <w:p w14:paraId="606BE7B1" w14:textId="77777777" w:rsidR="009A5FB0" w:rsidRDefault="00BF1721">
      <w:pPr>
        <w:numPr>
          <w:ilvl w:val="0"/>
          <w:numId w:val="3"/>
        </w:numPr>
        <w:snapToGrid w:val="0"/>
        <w:spacing w:line="336" w:lineRule="auto"/>
        <w:rPr>
          <w:rFonts w:ascii="宋体" w:hAnsi="宋体"/>
          <w:sz w:val="28"/>
          <w:szCs w:val="28"/>
        </w:rPr>
      </w:pPr>
      <w:r>
        <w:rPr>
          <w:rFonts w:ascii="宋体" w:hAnsi="宋体" w:hint="eastAsia"/>
          <w:sz w:val="28"/>
          <w:szCs w:val="28"/>
        </w:rPr>
        <w:t>本工程清单描述未尽之处，详见初步设计图纸；如果清单描述与初步设计图纸不一致，以初步设计图纸为准；项目特征描述应结合招标文件中的初步设计图纸进行理解；施工方自行设计、优化、细化</w:t>
      </w:r>
      <w:r>
        <w:rPr>
          <w:rFonts w:ascii="宋体" w:hAnsi="宋体" w:hint="eastAsia"/>
          <w:sz w:val="28"/>
          <w:szCs w:val="28"/>
        </w:rPr>
        <w:lastRenderedPageBreak/>
        <w:t>的成果，包括但不限于施工图，所对应的综</w:t>
      </w:r>
      <w:r>
        <w:rPr>
          <w:rFonts w:ascii="宋体" w:hAnsi="宋体" w:hint="eastAsia"/>
          <w:sz w:val="28"/>
          <w:szCs w:val="28"/>
        </w:rPr>
        <w:t>合价格，已经包含在投标报价中；</w:t>
      </w:r>
    </w:p>
    <w:p w14:paraId="26A44898" w14:textId="77777777" w:rsidR="009A5FB0" w:rsidRDefault="00BF1721">
      <w:pPr>
        <w:numPr>
          <w:ilvl w:val="0"/>
          <w:numId w:val="3"/>
        </w:numPr>
        <w:snapToGrid w:val="0"/>
        <w:spacing w:line="336" w:lineRule="auto"/>
        <w:rPr>
          <w:rFonts w:ascii="宋体" w:hAnsi="宋体"/>
          <w:sz w:val="28"/>
          <w:szCs w:val="28"/>
        </w:rPr>
      </w:pPr>
      <w:r>
        <w:rPr>
          <w:rFonts w:ascii="宋体" w:hAnsi="宋体" w:hint="eastAsia"/>
          <w:sz w:val="28"/>
          <w:szCs w:val="28"/>
        </w:rPr>
        <w:t>本项目主体建筑的结构形式包括但不局限于钢筋混凝土、钢结构、竹木结构等装配式结构形式，投标人可参考设计文件结合企业自身特点及优势进行设计深化，</w:t>
      </w:r>
      <w:r>
        <w:rPr>
          <w:rFonts w:ascii="宋体" w:hAnsi="宋体" w:hint="eastAsia"/>
          <w:sz w:val="28"/>
          <w:szCs w:val="28"/>
        </w:rPr>
        <w:t>在保证安全、满足功能需求的基础上</w:t>
      </w:r>
      <w:r>
        <w:rPr>
          <w:rFonts w:ascii="宋体" w:hAnsi="宋体" w:hint="eastAsia"/>
          <w:sz w:val="28"/>
          <w:szCs w:val="28"/>
        </w:rPr>
        <w:t>优质、快速的完成项目建设。主体建筑的装配率、结构成本需投标人综合考虑计入投标报价中</w:t>
      </w:r>
      <w:r>
        <w:rPr>
          <w:rFonts w:ascii="宋体" w:hAnsi="宋体" w:hint="eastAsia"/>
          <w:sz w:val="28"/>
          <w:szCs w:val="28"/>
        </w:rPr>
        <w:t>；</w:t>
      </w:r>
    </w:p>
    <w:p w14:paraId="0781BA27"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t>投标人在提交标书前，应对本工程的有关图纸、规范、技术说明、质量检验要求、招标文件、工程所在地周围环境、交通情况等情况均应详细了解；投标报价中应包括按招标文件和合同条款中的规定，执行及完成本工程所包含的全部工作内容的费用，包</w:t>
      </w:r>
      <w:r>
        <w:rPr>
          <w:rFonts w:ascii="宋体" w:hAnsi="宋体" w:cs="宋体" w:hint="eastAsia"/>
          <w:sz w:val="28"/>
          <w:szCs w:val="28"/>
        </w:rPr>
        <w:t>括但不限于分部分项工程费（人工费、材料设备费（含损耗）、机械使用费、水电费、企业管理费、规费、利润、税金、成品保护费、材料检验试验、办理验收直至取得验收合格证明文件和保修费用，以及政策性文件规定的各项应有费用及招标文件明示或暗示的所有一切风险、责任和义务的费用）和措施费。合同价款不随材料市场价格波动、工资、物价、费率或汇率的变动或政府颁发的调价文件而发生变化（合同约定的除外），不论其对应的项目特征是否描述完全，</w:t>
      </w:r>
      <w:r>
        <w:rPr>
          <w:rFonts w:ascii="宋体" w:hAnsi="宋体" w:cs="宋体" w:hint="eastAsia"/>
          <w:sz w:val="28"/>
          <w:szCs w:val="28"/>
        </w:rPr>
        <w:t>不论其清单列项是否完整、工程量是否准确</w:t>
      </w:r>
      <w:r>
        <w:rPr>
          <w:rFonts w:ascii="宋体" w:hAnsi="宋体" w:cs="宋体" w:hint="eastAsia"/>
          <w:sz w:val="28"/>
          <w:szCs w:val="28"/>
        </w:rPr>
        <w:t>都将被认为已包括实施</w:t>
      </w:r>
      <w:r>
        <w:rPr>
          <w:rFonts w:ascii="宋体" w:hAnsi="宋体" w:cs="宋体" w:hint="eastAsia"/>
          <w:sz w:val="28"/>
          <w:szCs w:val="28"/>
        </w:rPr>
        <w:t>相关</w:t>
      </w:r>
      <w:r>
        <w:rPr>
          <w:rFonts w:ascii="宋体" w:hAnsi="宋体" w:cs="宋体" w:hint="eastAsia"/>
          <w:sz w:val="28"/>
          <w:szCs w:val="28"/>
        </w:rPr>
        <w:t>项目所有工作内容及完成此工作内容而必须的各种</w:t>
      </w:r>
      <w:r>
        <w:rPr>
          <w:rFonts w:ascii="宋体" w:hAnsi="宋体" w:cs="宋体" w:hint="eastAsia"/>
          <w:sz w:val="28"/>
          <w:szCs w:val="28"/>
        </w:rPr>
        <w:t>主要及</w:t>
      </w:r>
      <w:r>
        <w:rPr>
          <w:rFonts w:ascii="宋体" w:hAnsi="宋体" w:cs="宋体" w:hint="eastAsia"/>
          <w:sz w:val="28"/>
          <w:szCs w:val="28"/>
        </w:rPr>
        <w:t>辅助</w:t>
      </w:r>
      <w:r>
        <w:rPr>
          <w:rFonts w:ascii="宋体" w:hAnsi="宋体" w:cs="宋体" w:hint="eastAsia"/>
          <w:sz w:val="28"/>
          <w:szCs w:val="28"/>
        </w:rPr>
        <w:t>性</w:t>
      </w:r>
      <w:r>
        <w:rPr>
          <w:rFonts w:ascii="宋体" w:hAnsi="宋体" w:cs="宋体" w:hint="eastAsia"/>
          <w:sz w:val="28"/>
          <w:szCs w:val="28"/>
        </w:rPr>
        <w:t>工作的费用；</w:t>
      </w:r>
    </w:p>
    <w:p w14:paraId="16CF0FDC"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t>投标人的投标综合单价是指按图纸、规范和招标文件要求而包干的完全价格。不论其对应的项目特征是否描述完全，都将被认为已包括实施对应项目所有工作内容及完成此工作内容而必须的各种辅助工作的费用。综合单价不随材料市场价格波动、工程量增减、工资、物价、费率或汇率的变动或政府颁发的任何调价文件而发生变化（合同约定的除外）。投标人中标后，其综合单价是合同文件的组成部分，用于工程款支付、洽商变更和竣工结算；</w:t>
      </w:r>
    </w:p>
    <w:p w14:paraId="20A02C69"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lastRenderedPageBreak/>
        <w:t>由于市场价格波动允许调整合同价格的约定：</w:t>
      </w:r>
    </w:p>
    <w:p w14:paraId="3BD4888B" w14:textId="77777777" w:rsidR="009A5FB0" w:rsidRDefault="00BF1721">
      <w:pPr>
        <w:snapToGrid w:val="0"/>
        <w:spacing w:line="336" w:lineRule="auto"/>
        <w:ind w:firstLineChars="200" w:firstLine="560"/>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材料设备价差调整的范围为</w:t>
      </w:r>
      <w:r>
        <w:rPr>
          <w:rFonts w:ascii="宋体" w:hAnsi="宋体" w:cs="宋体" w:hint="eastAsia"/>
          <w:sz w:val="28"/>
          <w:szCs w:val="28"/>
        </w:rPr>
        <w:t>:</w:t>
      </w:r>
      <w:r>
        <w:rPr>
          <w:rFonts w:ascii="宋体" w:hAnsi="宋体" w:cs="宋体" w:hint="eastAsia"/>
          <w:sz w:val="28"/>
          <w:szCs w:val="28"/>
        </w:rPr>
        <w:t>仅限于以下材料</w:t>
      </w:r>
      <w:r>
        <w:rPr>
          <w:rFonts w:ascii="宋体" w:hAnsi="宋体" w:cs="宋体" w:hint="eastAsia"/>
          <w:sz w:val="28"/>
          <w:szCs w:val="28"/>
        </w:rPr>
        <w:t>:</w:t>
      </w:r>
      <w:r>
        <w:rPr>
          <w:rFonts w:ascii="宋体" w:hAnsi="宋体" w:cs="宋体" w:hint="eastAsia"/>
          <w:sz w:val="28"/>
          <w:szCs w:val="28"/>
        </w:rPr>
        <w:t>钢筋、商品砼、水泥、砂、砾石、碎石、预拌砂浆、砖砌体、钢管、角钢、商品水泥稳定料、沥青砼、水、电、松原木、松原条、杉原木、杉原条、汽油、柴油、电线电缆；</w:t>
      </w:r>
    </w:p>
    <w:p w14:paraId="63871283" w14:textId="77777777" w:rsidR="009A5FB0" w:rsidRDefault="00BF1721">
      <w:pPr>
        <w:tabs>
          <w:tab w:val="left" w:pos="420"/>
          <w:tab w:val="left" w:pos="840"/>
        </w:tabs>
        <w:ind w:firstLineChars="200" w:firstLine="560"/>
        <w:rPr>
          <w:rFonts w:ascii="宋体" w:hAnsi="宋体" w:cs="宋体"/>
          <w:sz w:val="28"/>
          <w:szCs w:val="36"/>
        </w:rPr>
      </w:pPr>
      <w:r>
        <w:rPr>
          <w:rFonts w:ascii="宋体" w:hAnsi="宋体" w:cs="宋体" w:hint="eastAsia"/>
          <w:sz w:val="28"/>
          <w:szCs w:val="28"/>
        </w:rPr>
        <w:t>(2)</w:t>
      </w:r>
      <w:r>
        <w:rPr>
          <w:rFonts w:ascii="宋体" w:hAnsi="宋体" w:cs="宋体"/>
          <w:sz w:val="28"/>
          <w:szCs w:val="36"/>
        </w:rPr>
        <w:t>调整价格（调整价差）的基价执行本工程开标当期的《长沙建设造价》，调整价差部分执行投标优惠率。</w:t>
      </w:r>
    </w:p>
    <w:p w14:paraId="4FDE1982" w14:textId="77777777" w:rsidR="009A5FB0" w:rsidRDefault="00BF1721">
      <w:pPr>
        <w:tabs>
          <w:tab w:val="left" w:pos="420"/>
          <w:tab w:val="left" w:pos="840"/>
        </w:tabs>
        <w:ind w:firstLineChars="200" w:firstLine="560"/>
        <w:rPr>
          <w:rFonts w:ascii="宋体" w:hAnsi="宋体" w:cs="宋体"/>
          <w:sz w:val="28"/>
          <w:szCs w:val="28"/>
        </w:rPr>
      </w:pPr>
      <w:r>
        <w:rPr>
          <w:rFonts w:ascii="宋体" w:hAnsi="宋体" w:cs="宋体"/>
          <w:sz w:val="28"/>
          <w:szCs w:val="36"/>
        </w:rPr>
        <w:t>可调差材料或设备市场价格涨降幅度在</w:t>
      </w:r>
      <w:r>
        <w:rPr>
          <w:rFonts w:ascii="宋体" w:hAnsi="宋体" w:cs="宋体" w:hint="eastAsia"/>
          <w:sz w:val="28"/>
          <w:szCs w:val="36"/>
        </w:rPr>
        <w:t>±</w:t>
      </w:r>
      <w:r>
        <w:rPr>
          <w:rFonts w:ascii="宋体" w:hAnsi="宋体" w:cs="宋体"/>
          <w:sz w:val="28"/>
          <w:szCs w:val="36"/>
        </w:rPr>
        <w:t>5%</w:t>
      </w:r>
      <w:r>
        <w:rPr>
          <w:rFonts w:ascii="宋体" w:hAnsi="宋体" w:cs="宋体"/>
          <w:sz w:val="28"/>
          <w:szCs w:val="36"/>
        </w:rPr>
        <w:t>（</w:t>
      </w:r>
      <w:r>
        <w:rPr>
          <w:rFonts w:ascii="宋体" w:hAnsi="宋体" w:cs="宋体" w:hint="eastAsia"/>
          <w:sz w:val="28"/>
          <w:szCs w:val="36"/>
        </w:rPr>
        <w:t>土</w:t>
      </w:r>
      <w:r>
        <w:rPr>
          <w:rFonts w:ascii="宋体" w:hAnsi="宋体" w:cs="宋体"/>
          <w:sz w:val="28"/>
          <w:szCs w:val="36"/>
        </w:rPr>
        <w:t>建）、</w:t>
      </w:r>
      <w:r>
        <w:rPr>
          <w:rFonts w:ascii="宋体" w:hAnsi="宋体" w:cs="宋体" w:hint="eastAsia"/>
          <w:sz w:val="28"/>
          <w:szCs w:val="36"/>
        </w:rPr>
        <w:t>±</w:t>
      </w:r>
      <w:r>
        <w:rPr>
          <w:rFonts w:ascii="宋体" w:hAnsi="宋体" w:cs="宋体"/>
          <w:sz w:val="28"/>
          <w:szCs w:val="36"/>
        </w:rPr>
        <w:t>8%(</w:t>
      </w:r>
      <w:r>
        <w:rPr>
          <w:rFonts w:ascii="宋体" w:hAnsi="宋体" w:cs="宋体"/>
          <w:sz w:val="28"/>
          <w:szCs w:val="36"/>
        </w:rPr>
        <w:t>安装及装饰）以内，不作调整。单项可调差材料或设备价格涨降幅度超过上述规定时，仅对合同工期内超过上述涨降幅度的部分进行价差调整（调增或调减），不再计取利润，承包</w:t>
      </w:r>
      <w:r>
        <w:rPr>
          <w:rFonts w:ascii="宋体" w:hAnsi="宋体" w:cs="宋体"/>
          <w:sz w:val="28"/>
          <w:szCs w:val="36"/>
        </w:rPr>
        <w:t>人超过合同工期的工程部分，则不</w:t>
      </w:r>
      <w:r>
        <w:rPr>
          <w:rFonts w:ascii="宋体" w:hAnsi="宋体" w:cs="宋体" w:hint="eastAsia"/>
          <w:sz w:val="28"/>
          <w:szCs w:val="36"/>
        </w:rPr>
        <w:t>予</w:t>
      </w:r>
      <w:r>
        <w:rPr>
          <w:rFonts w:ascii="宋体" w:hAnsi="宋体" w:cs="宋体"/>
          <w:sz w:val="28"/>
          <w:szCs w:val="36"/>
        </w:rPr>
        <w:t>调整。</w:t>
      </w:r>
    </w:p>
    <w:p w14:paraId="16857BFA" w14:textId="77777777" w:rsidR="009A5FB0" w:rsidRDefault="00BF1721">
      <w:pPr>
        <w:snapToGrid w:val="0"/>
        <w:spacing w:line="336" w:lineRule="auto"/>
        <w:ind w:firstLineChars="200" w:firstLine="560"/>
        <w:rPr>
          <w:rFonts w:ascii="宋体" w:hAnsi="宋体" w:cs="宋体"/>
          <w:sz w:val="28"/>
          <w:szCs w:val="28"/>
        </w:rPr>
      </w:pPr>
      <w:r>
        <w:rPr>
          <w:rFonts w:ascii="宋体" w:hAnsi="宋体" w:cs="宋体" w:hint="eastAsia"/>
          <w:sz w:val="28"/>
          <w:szCs w:val="28"/>
        </w:rPr>
        <w:t>(3)</w:t>
      </w:r>
      <w:r>
        <w:rPr>
          <w:rFonts w:ascii="宋体" w:hAnsi="宋体" w:cs="宋体" w:hint="eastAsia"/>
          <w:sz w:val="28"/>
          <w:szCs w:val="28"/>
        </w:rPr>
        <w:t>风险范围幅度的确定方式</w:t>
      </w:r>
      <w:r>
        <w:rPr>
          <w:rFonts w:ascii="宋体" w:hAnsi="宋体" w:cs="宋体" w:hint="eastAsia"/>
          <w:sz w:val="28"/>
          <w:szCs w:val="28"/>
        </w:rPr>
        <w:t>: p=(Cs-Ct)/Ct</w:t>
      </w:r>
      <w:r>
        <w:rPr>
          <w:rFonts w:ascii="宋体" w:hAnsi="宋体" w:cs="宋体" w:hint="eastAsia"/>
          <w:sz w:val="28"/>
          <w:szCs w:val="28"/>
        </w:rPr>
        <w:t>×</w:t>
      </w:r>
      <w:r>
        <w:rPr>
          <w:rFonts w:ascii="宋体" w:hAnsi="宋体" w:cs="宋体" w:hint="eastAsia"/>
          <w:sz w:val="28"/>
          <w:szCs w:val="28"/>
        </w:rPr>
        <w:t>100%</w:t>
      </w:r>
      <w:r>
        <w:rPr>
          <w:rFonts w:ascii="宋体" w:hAnsi="宋体" w:cs="宋体" w:hint="eastAsia"/>
          <w:sz w:val="28"/>
          <w:szCs w:val="28"/>
        </w:rPr>
        <w:br/>
      </w:r>
      <w:r>
        <w:rPr>
          <w:rFonts w:ascii="宋体" w:hAnsi="宋体" w:cs="宋体" w:hint="eastAsia"/>
          <w:sz w:val="28"/>
          <w:szCs w:val="28"/>
        </w:rPr>
        <w:t>其中</w:t>
      </w:r>
      <w:r>
        <w:rPr>
          <w:rFonts w:ascii="宋体" w:hAnsi="宋体" w:cs="宋体" w:hint="eastAsia"/>
          <w:sz w:val="28"/>
          <w:szCs w:val="28"/>
        </w:rPr>
        <w:t>: p:</w:t>
      </w:r>
      <w:r>
        <w:rPr>
          <w:rFonts w:ascii="宋体" w:hAnsi="宋体" w:cs="宋体" w:hint="eastAsia"/>
          <w:sz w:val="28"/>
          <w:szCs w:val="28"/>
        </w:rPr>
        <w:t>价格变化幅度</w:t>
      </w:r>
      <w:r>
        <w:rPr>
          <w:rFonts w:ascii="宋体" w:hAnsi="宋体" w:cs="宋体" w:hint="eastAsia"/>
          <w:sz w:val="28"/>
          <w:szCs w:val="28"/>
        </w:rPr>
        <w:br/>
        <w:t xml:space="preserve">   Cs:</w:t>
      </w:r>
      <w:r>
        <w:rPr>
          <w:rFonts w:ascii="宋体" w:hAnsi="宋体" w:cs="宋体" w:hint="eastAsia"/>
          <w:sz w:val="28"/>
          <w:szCs w:val="28"/>
        </w:rPr>
        <w:t>施工期《长沙建设造价》发布的材料预算价格</w:t>
      </w:r>
      <w:r>
        <w:rPr>
          <w:rFonts w:ascii="宋体" w:hAnsi="宋体" w:cs="宋体" w:hint="eastAsia"/>
          <w:sz w:val="28"/>
          <w:szCs w:val="28"/>
        </w:rPr>
        <w:br/>
        <w:t xml:space="preserve">   Ct:</w:t>
      </w:r>
      <w:r>
        <w:rPr>
          <w:rFonts w:ascii="宋体" w:hAnsi="宋体" w:cs="宋体" w:hint="eastAsia"/>
          <w:sz w:val="28"/>
          <w:szCs w:val="28"/>
        </w:rPr>
        <w:t>开标日归属的那一期《长沙建设造价》所发布的材料预算价格</w:t>
      </w:r>
      <w:r>
        <w:rPr>
          <w:rFonts w:ascii="宋体" w:hAnsi="宋体" w:cs="宋体" w:hint="eastAsia"/>
          <w:sz w:val="28"/>
          <w:szCs w:val="28"/>
        </w:rPr>
        <w:br/>
        <w:t xml:space="preserve">    (4)</w:t>
      </w:r>
      <w:r>
        <w:rPr>
          <w:rFonts w:ascii="宋体" w:hAnsi="宋体" w:cs="宋体" w:hint="eastAsia"/>
          <w:sz w:val="28"/>
          <w:szCs w:val="28"/>
        </w:rPr>
        <w:t>材料调差计算办法</w:t>
      </w:r>
      <w:r>
        <w:rPr>
          <w:rFonts w:ascii="宋体" w:hAnsi="宋体" w:cs="宋体" w:hint="eastAsia"/>
          <w:sz w:val="28"/>
          <w:szCs w:val="28"/>
        </w:rPr>
        <w:t>:</w:t>
      </w:r>
      <w:r>
        <w:rPr>
          <w:rFonts w:ascii="宋体" w:hAnsi="宋体" w:cs="宋体" w:hint="eastAsia"/>
          <w:sz w:val="28"/>
          <w:szCs w:val="28"/>
        </w:rPr>
        <w:t>分为基础工程、主体工程、装修工程三个阶段进行材料价格调整。基础工程计算期以开工令至基础验收日期截止；主体工程计算期以基础验收日期至主体工程验收日期截止；装修阶段计算期以主体验收日期至交工验收日期截止；分别以各期间《长沙建设造</w:t>
      </w:r>
      <w:r>
        <w:rPr>
          <w:rFonts w:ascii="宋体" w:hAnsi="宋体" w:cs="宋体" w:hint="eastAsia"/>
          <w:sz w:val="28"/>
          <w:szCs w:val="28"/>
        </w:rPr>
        <w:t>价》发布的各月平均预算价格为调整期价格；截止当月少于</w:t>
      </w:r>
      <w:r>
        <w:rPr>
          <w:rFonts w:ascii="宋体" w:hAnsi="宋体" w:cs="宋体" w:hint="eastAsia"/>
          <w:sz w:val="28"/>
          <w:szCs w:val="28"/>
        </w:rPr>
        <w:t>15</w:t>
      </w:r>
      <w:r>
        <w:rPr>
          <w:rFonts w:ascii="宋体" w:hAnsi="宋体" w:cs="宋体" w:hint="eastAsia"/>
          <w:sz w:val="28"/>
          <w:szCs w:val="28"/>
        </w:rPr>
        <w:t>天的月份预算发布价不纳入价格平均计算。</w:t>
      </w:r>
      <w:r>
        <w:rPr>
          <w:rFonts w:ascii="宋体" w:hAnsi="宋体" w:cs="宋体" w:hint="eastAsia"/>
          <w:sz w:val="28"/>
          <w:szCs w:val="28"/>
        </w:rPr>
        <w:br/>
        <w:t xml:space="preserve">    (</w:t>
      </w:r>
      <w:r>
        <w:rPr>
          <w:rFonts w:ascii="宋体" w:hAnsi="宋体" w:cs="宋体" w:hint="eastAsia"/>
          <w:sz w:val="28"/>
          <w:szCs w:val="28"/>
        </w:rPr>
        <w:t>5</w:t>
      </w:r>
      <w:r>
        <w:rPr>
          <w:rFonts w:ascii="宋体" w:hAnsi="宋体" w:cs="宋体" w:hint="eastAsia"/>
          <w:sz w:val="28"/>
          <w:szCs w:val="28"/>
        </w:rPr>
        <w:t>)</w:t>
      </w:r>
      <w:r>
        <w:rPr>
          <w:rFonts w:ascii="宋体" w:hAnsi="宋体" w:cs="宋体" w:hint="eastAsia"/>
          <w:sz w:val="28"/>
          <w:szCs w:val="28"/>
        </w:rPr>
        <w:t>约定风险范围的可调材料、设备的调整方法</w:t>
      </w:r>
      <w:r>
        <w:rPr>
          <w:rFonts w:ascii="宋体" w:hAnsi="宋体" w:cs="宋体" w:hint="eastAsia"/>
          <w:sz w:val="28"/>
          <w:szCs w:val="28"/>
        </w:rPr>
        <w:t>，</w:t>
      </w:r>
      <w:r>
        <w:rPr>
          <w:rFonts w:ascii="宋体" w:hAnsi="宋体" w:cs="宋体" w:hint="eastAsia"/>
          <w:sz w:val="28"/>
          <w:szCs w:val="28"/>
        </w:rPr>
        <w:t>例如</w:t>
      </w:r>
      <w:r>
        <w:rPr>
          <w:rFonts w:ascii="宋体" w:hAnsi="宋体" w:cs="宋体" w:hint="eastAsia"/>
          <w:sz w:val="28"/>
          <w:szCs w:val="28"/>
        </w:rPr>
        <w:t>:</w:t>
      </w:r>
      <w:r>
        <w:rPr>
          <w:rFonts w:ascii="宋体" w:hAnsi="宋体" w:cs="宋体" w:hint="eastAsia"/>
          <w:sz w:val="28"/>
          <w:szCs w:val="28"/>
        </w:rPr>
        <w:br/>
      </w:r>
      <w:r>
        <w:rPr>
          <w:rFonts w:ascii="宋体" w:hAnsi="宋体" w:cs="宋体" w:hint="eastAsia"/>
          <w:sz w:val="28"/>
          <w:szCs w:val="28"/>
        </w:rPr>
        <w:t>土建工程</w:t>
      </w:r>
      <w:r>
        <w:rPr>
          <w:rFonts w:ascii="宋体" w:hAnsi="宋体" w:cs="宋体" w:hint="eastAsia"/>
          <w:sz w:val="28"/>
          <w:szCs w:val="28"/>
        </w:rPr>
        <w:t>约定风险范围的可调材料、设备的价格变化幅度大于±</w:t>
      </w:r>
      <w:r>
        <w:rPr>
          <w:rFonts w:ascii="宋体" w:hAnsi="宋体" w:cs="宋体" w:hint="eastAsia"/>
          <w:sz w:val="28"/>
          <w:szCs w:val="28"/>
        </w:rPr>
        <w:t>5</w:t>
      </w:r>
      <w:r>
        <w:rPr>
          <w:rFonts w:ascii="宋体" w:hAnsi="宋体" w:cs="宋体" w:hint="eastAsia"/>
          <w:sz w:val="28"/>
          <w:szCs w:val="28"/>
        </w:rPr>
        <w:t>%</w:t>
      </w:r>
      <w:r>
        <w:rPr>
          <w:rFonts w:ascii="宋体" w:hAnsi="宋体" w:cs="宋体" w:hint="eastAsia"/>
          <w:sz w:val="28"/>
          <w:szCs w:val="28"/>
        </w:rPr>
        <w:t>时，结算时统一调整</w:t>
      </w:r>
      <w:r>
        <w:rPr>
          <w:rFonts w:ascii="宋体" w:hAnsi="宋体" w:cs="宋体" w:hint="eastAsia"/>
          <w:sz w:val="28"/>
          <w:szCs w:val="28"/>
        </w:rPr>
        <w:t>, </w:t>
      </w:r>
      <w:r>
        <w:rPr>
          <w:rFonts w:ascii="宋体" w:hAnsi="宋体" w:cs="宋体" w:hint="eastAsia"/>
          <w:sz w:val="28"/>
          <w:szCs w:val="28"/>
        </w:rPr>
        <w:t>除税金外不再计取任何费用，且调整价差部分执行投标优惠率。</w:t>
      </w:r>
      <w:r>
        <w:rPr>
          <w:rFonts w:ascii="宋体" w:hAnsi="宋体" w:cs="宋体" w:hint="eastAsia"/>
          <w:sz w:val="28"/>
          <w:szCs w:val="28"/>
        </w:rPr>
        <w:t xml:space="preserve"> </w:t>
      </w:r>
      <w:r>
        <w:rPr>
          <w:rFonts w:ascii="宋体" w:hAnsi="宋体" w:cs="宋体" w:hint="eastAsia"/>
          <w:sz w:val="28"/>
          <w:szCs w:val="28"/>
        </w:rPr>
        <w:t>差价</w:t>
      </w:r>
      <w:r>
        <w:rPr>
          <w:rFonts w:ascii="宋体" w:hAnsi="宋体" w:cs="宋体" w:hint="eastAsia"/>
          <w:sz w:val="28"/>
          <w:szCs w:val="28"/>
        </w:rPr>
        <w:t>=</w:t>
      </w:r>
      <w:r>
        <w:rPr>
          <w:rFonts w:ascii="宋体" w:hAnsi="宋体" w:cs="宋体" w:hint="eastAsia"/>
          <w:sz w:val="28"/>
          <w:szCs w:val="28"/>
        </w:rPr>
        <w:t>∑</w:t>
      </w:r>
      <w:r>
        <w:rPr>
          <w:rFonts w:ascii="宋体" w:hAnsi="宋体" w:cs="宋体" w:hint="eastAsia"/>
          <w:sz w:val="28"/>
          <w:szCs w:val="28"/>
        </w:rPr>
        <w:t>Ct(|p|-5%)</w:t>
      </w:r>
      <w:r>
        <w:rPr>
          <w:rFonts w:ascii="宋体" w:hAnsi="宋体" w:cs="宋体" w:hint="eastAsia"/>
          <w:sz w:val="28"/>
          <w:szCs w:val="28"/>
        </w:rPr>
        <w:t>×消耗量。</w:t>
      </w:r>
      <w:r>
        <w:rPr>
          <w:rFonts w:ascii="宋体" w:hAnsi="宋体" w:cs="宋体" w:hint="eastAsia"/>
          <w:sz w:val="28"/>
          <w:szCs w:val="28"/>
        </w:rPr>
        <w:br/>
      </w:r>
      <w:r>
        <w:rPr>
          <w:rFonts w:ascii="宋体" w:hAnsi="宋体" w:cs="宋体" w:hint="eastAsia"/>
          <w:sz w:val="28"/>
          <w:szCs w:val="28"/>
        </w:rPr>
        <w:lastRenderedPageBreak/>
        <w:t xml:space="preserve">    (</w:t>
      </w:r>
      <w:r>
        <w:rPr>
          <w:rFonts w:ascii="宋体" w:hAnsi="宋体" w:cs="宋体" w:hint="eastAsia"/>
          <w:sz w:val="28"/>
          <w:szCs w:val="28"/>
        </w:rPr>
        <w:t>6</w:t>
      </w:r>
      <w:r>
        <w:rPr>
          <w:rFonts w:ascii="宋体" w:hAnsi="宋体" w:cs="宋体" w:hint="eastAsia"/>
          <w:sz w:val="28"/>
          <w:szCs w:val="28"/>
        </w:rPr>
        <w:t>)</w:t>
      </w:r>
      <w:r>
        <w:rPr>
          <w:rFonts w:ascii="宋体" w:hAnsi="宋体" w:cs="宋体" w:hint="eastAsia"/>
          <w:sz w:val="28"/>
          <w:szCs w:val="28"/>
        </w:rPr>
        <w:t>因承包人原因造成工期</w:t>
      </w:r>
      <w:r>
        <w:rPr>
          <w:rFonts w:ascii="宋体" w:hAnsi="宋体" w:cs="宋体" w:hint="eastAsia"/>
          <w:sz w:val="28"/>
          <w:szCs w:val="28"/>
        </w:rPr>
        <w:t>延误</w:t>
      </w:r>
      <w:r>
        <w:rPr>
          <w:rFonts w:ascii="宋体" w:hAnsi="宋体" w:cs="宋体" w:hint="eastAsia"/>
          <w:sz w:val="28"/>
          <w:szCs w:val="28"/>
        </w:rPr>
        <w:t>的，延误期间发生的材料价差正差均由承包人承担，延误期间发生的材料价差负差均由发包人扣除。</w:t>
      </w:r>
      <w:r>
        <w:rPr>
          <w:rFonts w:ascii="宋体" w:hAnsi="宋体" w:cs="宋体" w:hint="eastAsia"/>
          <w:sz w:val="28"/>
          <w:szCs w:val="28"/>
        </w:rPr>
        <w:br/>
        <w:t xml:space="preserve">    (</w:t>
      </w:r>
      <w:r>
        <w:rPr>
          <w:rFonts w:ascii="宋体" w:hAnsi="宋体" w:cs="宋体" w:hint="eastAsia"/>
          <w:sz w:val="28"/>
          <w:szCs w:val="28"/>
        </w:rPr>
        <w:t>7</w:t>
      </w:r>
      <w:r>
        <w:rPr>
          <w:rFonts w:ascii="宋体" w:hAnsi="宋体" w:cs="宋体" w:hint="eastAsia"/>
          <w:sz w:val="28"/>
          <w:szCs w:val="28"/>
        </w:rPr>
        <w:t>)</w:t>
      </w:r>
      <w:r>
        <w:rPr>
          <w:rFonts w:ascii="宋体" w:hAnsi="宋体" w:cs="宋体" w:hint="eastAsia"/>
          <w:sz w:val="28"/>
          <w:szCs w:val="28"/>
        </w:rPr>
        <w:t>投标优惠率，即优惠率</w:t>
      </w:r>
      <w:r>
        <w:rPr>
          <w:rFonts w:ascii="宋体" w:hAnsi="宋体" w:cs="宋体" w:hint="eastAsia"/>
          <w:sz w:val="28"/>
          <w:szCs w:val="28"/>
        </w:rPr>
        <w:t>=(</w:t>
      </w:r>
      <w:r>
        <w:rPr>
          <w:rFonts w:ascii="宋体" w:hAnsi="宋体" w:cs="宋体" w:hint="eastAsia"/>
          <w:sz w:val="28"/>
          <w:szCs w:val="28"/>
        </w:rPr>
        <w:t>招标控制价</w:t>
      </w:r>
      <w:r>
        <w:rPr>
          <w:rFonts w:ascii="宋体" w:hAnsi="宋体" w:cs="宋体" w:hint="eastAsia"/>
          <w:sz w:val="28"/>
          <w:szCs w:val="28"/>
        </w:rPr>
        <w:t>-</w:t>
      </w:r>
      <w:r>
        <w:rPr>
          <w:rFonts w:ascii="宋体" w:hAnsi="宋体" w:cs="宋体" w:hint="eastAsia"/>
          <w:sz w:val="28"/>
          <w:szCs w:val="28"/>
        </w:rPr>
        <w:t>中标价</w:t>
      </w:r>
      <w:r>
        <w:rPr>
          <w:rFonts w:ascii="宋体" w:hAnsi="宋体" w:cs="宋体" w:hint="eastAsia"/>
          <w:sz w:val="28"/>
          <w:szCs w:val="28"/>
        </w:rPr>
        <w:t>)/(</w:t>
      </w:r>
      <w:r>
        <w:rPr>
          <w:rFonts w:ascii="宋体" w:hAnsi="宋体" w:cs="宋体" w:hint="eastAsia"/>
          <w:sz w:val="28"/>
          <w:szCs w:val="28"/>
        </w:rPr>
        <w:t>招标控制价</w:t>
      </w:r>
      <w:r>
        <w:rPr>
          <w:rFonts w:ascii="宋体" w:hAnsi="宋体" w:cs="宋体" w:hint="eastAsia"/>
          <w:sz w:val="28"/>
          <w:szCs w:val="28"/>
        </w:rPr>
        <w:t>-</w:t>
      </w:r>
      <w:r>
        <w:rPr>
          <w:rFonts w:ascii="宋体" w:hAnsi="宋体" w:cs="宋体" w:hint="eastAsia"/>
          <w:sz w:val="28"/>
          <w:szCs w:val="28"/>
        </w:rPr>
        <w:t>暂列金额</w:t>
      </w:r>
      <w:r>
        <w:rPr>
          <w:rFonts w:ascii="宋体" w:hAnsi="宋体" w:cs="宋体" w:hint="eastAsia"/>
          <w:sz w:val="28"/>
          <w:szCs w:val="28"/>
        </w:rPr>
        <w:t>-</w:t>
      </w:r>
      <w:r>
        <w:rPr>
          <w:rFonts w:ascii="宋体" w:hAnsi="宋体" w:cs="宋体" w:hint="eastAsia"/>
          <w:sz w:val="28"/>
          <w:szCs w:val="28"/>
        </w:rPr>
        <w:t>工程暂估价</w:t>
      </w:r>
      <w:r>
        <w:rPr>
          <w:rFonts w:ascii="宋体" w:hAnsi="宋体" w:cs="宋体" w:hint="eastAsia"/>
          <w:sz w:val="28"/>
          <w:szCs w:val="28"/>
        </w:rPr>
        <w:t>-</w:t>
      </w:r>
      <w:r>
        <w:rPr>
          <w:rFonts w:ascii="宋体" w:hAnsi="宋体" w:cs="宋体" w:hint="eastAsia"/>
          <w:sz w:val="28"/>
          <w:szCs w:val="28"/>
        </w:rPr>
        <w:t>材料暂估价</w:t>
      </w:r>
      <w:r>
        <w:rPr>
          <w:rFonts w:ascii="宋体" w:hAnsi="宋体" w:cs="宋体" w:hint="eastAsia"/>
          <w:sz w:val="28"/>
          <w:szCs w:val="28"/>
        </w:rPr>
        <w:t>)</w:t>
      </w:r>
      <w:r>
        <w:rPr>
          <w:rFonts w:ascii="宋体" w:hAnsi="宋体" w:cs="宋体" w:hint="eastAsia"/>
          <w:sz w:val="28"/>
          <w:szCs w:val="28"/>
        </w:rPr>
        <w:t>×</w:t>
      </w:r>
      <w:r>
        <w:rPr>
          <w:rFonts w:ascii="宋体" w:hAnsi="宋体" w:cs="宋体" w:hint="eastAsia"/>
          <w:sz w:val="28"/>
          <w:szCs w:val="28"/>
        </w:rPr>
        <w:t>100%</w:t>
      </w:r>
      <w:r>
        <w:rPr>
          <w:rFonts w:ascii="宋体" w:hAnsi="宋体" w:cs="宋体" w:hint="eastAsia"/>
          <w:sz w:val="28"/>
          <w:szCs w:val="28"/>
        </w:rPr>
        <w:t>；</w:t>
      </w:r>
    </w:p>
    <w:p w14:paraId="19F1E0F1" w14:textId="77777777" w:rsidR="009A5FB0" w:rsidRDefault="00BF1721">
      <w:pPr>
        <w:numPr>
          <w:ilvl w:val="0"/>
          <w:numId w:val="3"/>
        </w:numPr>
        <w:snapToGrid w:val="0"/>
        <w:spacing w:line="336" w:lineRule="auto"/>
        <w:rPr>
          <w:rFonts w:ascii="宋体" w:hAnsi="宋体"/>
          <w:sz w:val="28"/>
          <w:szCs w:val="28"/>
        </w:rPr>
      </w:pPr>
      <w:r>
        <w:rPr>
          <w:rFonts w:ascii="宋体" w:hAnsi="宋体" w:cs="宋体" w:hint="eastAsia"/>
          <w:sz w:val="28"/>
          <w:szCs w:val="28"/>
        </w:rPr>
        <w:t>以投标时</w:t>
      </w:r>
      <w:r>
        <w:rPr>
          <w:rFonts w:ascii="宋体" w:hAnsi="宋体" w:cs="宋体" w:hint="eastAsia"/>
          <w:sz w:val="28"/>
          <w:szCs w:val="28"/>
        </w:rPr>
        <w:t>发包人提供的招标图纸与允许</w:t>
      </w:r>
      <w:r>
        <w:rPr>
          <w:rFonts w:ascii="宋体" w:hAnsi="宋体" w:cs="宋体" w:hint="eastAsia"/>
          <w:sz w:val="28"/>
          <w:szCs w:val="28"/>
        </w:rPr>
        <w:t>施工单位优化</w:t>
      </w:r>
      <w:r>
        <w:rPr>
          <w:rFonts w:ascii="宋体" w:hAnsi="宋体" w:cs="宋体" w:hint="eastAsia"/>
          <w:sz w:val="28"/>
          <w:szCs w:val="28"/>
        </w:rPr>
        <w:t>的工艺深化图纸</w:t>
      </w:r>
      <w:r>
        <w:rPr>
          <w:rFonts w:ascii="宋体" w:hAnsi="宋体" w:cs="宋体" w:hint="eastAsia"/>
          <w:sz w:val="28"/>
          <w:szCs w:val="28"/>
        </w:rPr>
        <w:t>进行固定总价包干，作为结算基准。但是，如果：</w:t>
      </w:r>
      <w:r>
        <w:rPr>
          <w:rFonts w:ascii="宋体" w:hAnsi="宋体" w:cs="宋体" w:hint="eastAsia"/>
          <w:sz w:val="28"/>
          <w:szCs w:val="28"/>
        </w:rPr>
        <w:t>（</w:t>
      </w:r>
      <w:r>
        <w:rPr>
          <w:rFonts w:ascii="宋体" w:hAnsi="宋体" w:cs="宋体" w:hint="eastAsia"/>
          <w:sz w:val="28"/>
          <w:szCs w:val="28"/>
        </w:rPr>
        <w:t>1</w:t>
      </w:r>
      <w:r>
        <w:rPr>
          <w:rFonts w:ascii="宋体" w:hAnsi="宋体" w:cs="宋体" w:hint="eastAsia"/>
          <w:sz w:val="28"/>
          <w:szCs w:val="28"/>
        </w:rPr>
        <w:t>）</w:t>
      </w:r>
      <w:r>
        <w:rPr>
          <w:rFonts w:ascii="宋体" w:hAnsi="宋体" w:cs="宋体" w:hint="eastAsia"/>
          <w:sz w:val="28"/>
          <w:szCs w:val="28"/>
        </w:rPr>
        <w:t>不可抗力（含政府部门发布的政策性文件，应结合合同条款联合理解）；</w:t>
      </w:r>
      <w:r>
        <w:rPr>
          <w:rFonts w:ascii="宋体" w:hAnsi="宋体" w:cs="宋体" w:hint="eastAsia"/>
          <w:sz w:val="28"/>
          <w:szCs w:val="28"/>
        </w:rPr>
        <w:t>（</w:t>
      </w:r>
      <w:r>
        <w:rPr>
          <w:rFonts w:ascii="宋体" w:hAnsi="宋体" w:cs="宋体" w:hint="eastAsia"/>
          <w:sz w:val="28"/>
          <w:szCs w:val="28"/>
        </w:rPr>
        <w:t>2</w:t>
      </w:r>
      <w:r>
        <w:rPr>
          <w:rFonts w:ascii="宋体" w:hAnsi="宋体" w:cs="宋体" w:hint="eastAsia"/>
          <w:sz w:val="28"/>
          <w:szCs w:val="28"/>
        </w:rPr>
        <w:t>）</w:t>
      </w:r>
      <w:r>
        <w:rPr>
          <w:rFonts w:ascii="宋体" w:hAnsi="宋体" w:cs="宋体" w:hint="eastAsia"/>
          <w:sz w:val="28"/>
          <w:szCs w:val="28"/>
        </w:rPr>
        <w:t>建设方需求改变；</w:t>
      </w:r>
      <w:r>
        <w:rPr>
          <w:rFonts w:ascii="宋体" w:hAnsi="宋体" w:cs="宋体" w:hint="eastAsia"/>
          <w:sz w:val="28"/>
          <w:szCs w:val="28"/>
        </w:rPr>
        <w:t>（</w:t>
      </w:r>
      <w:r>
        <w:rPr>
          <w:rFonts w:ascii="宋体" w:hAnsi="宋体" w:cs="宋体" w:hint="eastAsia"/>
          <w:sz w:val="28"/>
          <w:szCs w:val="28"/>
        </w:rPr>
        <w:t>3</w:t>
      </w:r>
      <w:r>
        <w:rPr>
          <w:rFonts w:ascii="宋体" w:hAnsi="宋体" w:cs="宋体" w:hint="eastAsia"/>
          <w:sz w:val="28"/>
          <w:szCs w:val="28"/>
        </w:rPr>
        <w:t>）</w:t>
      </w:r>
      <w:r>
        <w:rPr>
          <w:rFonts w:ascii="宋体" w:hAnsi="宋体" w:cs="宋体" w:hint="eastAsia"/>
          <w:sz w:val="28"/>
          <w:szCs w:val="28"/>
        </w:rPr>
        <w:t>实际地质情况与地勘报告有重大不符，造成基础</w:t>
      </w:r>
      <w:r>
        <w:rPr>
          <w:rFonts w:ascii="宋体" w:hAnsi="宋体" w:cs="宋体" w:hint="eastAsia"/>
          <w:sz w:val="28"/>
          <w:szCs w:val="28"/>
        </w:rPr>
        <w:t>垫层</w:t>
      </w:r>
      <w:r>
        <w:rPr>
          <w:rFonts w:ascii="宋体" w:hAnsi="宋体" w:cs="宋体" w:hint="eastAsia"/>
          <w:sz w:val="28"/>
          <w:szCs w:val="28"/>
        </w:rPr>
        <w:t>底面以下部分发生重大设计调整，造成变更，可以依据合同</w:t>
      </w:r>
      <w:r>
        <w:rPr>
          <w:rFonts w:ascii="宋体" w:hAnsi="宋体" w:cs="宋体" w:hint="eastAsia"/>
          <w:sz w:val="28"/>
          <w:szCs w:val="28"/>
        </w:rPr>
        <w:t>相关专用条款，在结算阶段，对结算总价进行调整；</w:t>
      </w:r>
      <w:r>
        <w:rPr>
          <w:rFonts w:ascii="宋体" w:hAnsi="宋体" w:cs="宋体" w:hint="eastAsia"/>
          <w:sz w:val="28"/>
          <w:szCs w:val="28"/>
        </w:rPr>
        <w:t>可调量不可调价范围：土石方工程、室外工程、架空层标高</w:t>
      </w:r>
      <w:r>
        <w:rPr>
          <w:rFonts w:ascii="宋体" w:hAnsi="宋体" w:cs="宋体" w:hint="eastAsia"/>
          <w:sz w:val="28"/>
          <w:szCs w:val="28"/>
        </w:rPr>
        <w:t>-2.8m</w:t>
      </w:r>
      <w:r>
        <w:rPr>
          <w:rFonts w:ascii="宋体" w:hAnsi="宋体" w:cs="宋体" w:hint="eastAsia"/>
          <w:sz w:val="28"/>
          <w:szCs w:val="28"/>
        </w:rPr>
        <w:t>以下构件；不可调量不可调价范围：架空层标高</w:t>
      </w:r>
      <w:r>
        <w:rPr>
          <w:rFonts w:ascii="宋体" w:hAnsi="宋体" w:cs="宋体" w:hint="eastAsia"/>
          <w:sz w:val="28"/>
          <w:szCs w:val="28"/>
        </w:rPr>
        <w:t>-2.8m</w:t>
      </w:r>
      <w:r>
        <w:rPr>
          <w:rFonts w:ascii="宋体" w:hAnsi="宋体" w:cs="宋体" w:hint="eastAsia"/>
          <w:sz w:val="28"/>
          <w:szCs w:val="28"/>
        </w:rPr>
        <w:t>以上构件</w:t>
      </w:r>
      <w:r>
        <w:rPr>
          <w:rFonts w:ascii="宋体" w:hAnsi="宋体" w:cs="宋体" w:hint="eastAsia"/>
          <w:sz w:val="28"/>
          <w:szCs w:val="28"/>
        </w:rPr>
        <w:t>(</w:t>
      </w:r>
      <w:r>
        <w:rPr>
          <w:rFonts w:ascii="宋体" w:hAnsi="宋体" w:cs="宋体" w:hint="eastAsia"/>
          <w:sz w:val="28"/>
          <w:szCs w:val="28"/>
        </w:rPr>
        <w:t>含架空层地面装饰面层、结合层、地坪</w:t>
      </w:r>
      <w:r>
        <w:rPr>
          <w:rFonts w:ascii="宋体" w:hAnsi="宋体" w:cs="宋体" w:hint="eastAsia"/>
          <w:sz w:val="28"/>
          <w:szCs w:val="28"/>
        </w:rPr>
        <w:t>)</w:t>
      </w:r>
      <w:r>
        <w:rPr>
          <w:rFonts w:ascii="宋体" w:hAnsi="宋体" w:cs="宋体" w:hint="eastAsia"/>
          <w:sz w:val="28"/>
          <w:szCs w:val="28"/>
        </w:rPr>
        <w:t>；</w:t>
      </w:r>
    </w:p>
    <w:p w14:paraId="6F4F3D16" w14:textId="77777777" w:rsidR="009A5FB0" w:rsidRDefault="00BF1721">
      <w:pPr>
        <w:numPr>
          <w:ilvl w:val="0"/>
          <w:numId w:val="3"/>
        </w:numPr>
        <w:snapToGrid w:val="0"/>
        <w:spacing w:line="336" w:lineRule="auto"/>
        <w:rPr>
          <w:rFonts w:ascii="宋体" w:hAnsi="宋体"/>
          <w:sz w:val="28"/>
          <w:szCs w:val="28"/>
        </w:rPr>
      </w:pPr>
      <w:r>
        <w:rPr>
          <w:rFonts w:ascii="宋体" w:hAnsi="宋体" w:hint="eastAsia"/>
          <w:sz w:val="28"/>
          <w:szCs w:val="28"/>
        </w:rPr>
        <w:t>节点（项目名称）：“钢筋混凝土装配式主体结构工程及单价措施项目，架空层标高</w:t>
      </w:r>
      <w:r>
        <w:rPr>
          <w:rFonts w:ascii="宋体" w:hAnsi="宋体" w:hint="eastAsia"/>
          <w:sz w:val="28"/>
          <w:szCs w:val="28"/>
        </w:rPr>
        <w:t>-2.8m</w:t>
      </w:r>
      <w:r>
        <w:rPr>
          <w:rFonts w:ascii="宋体" w:hAnsi="宋体" w:hint="eastAsia"/>
          <w:sz w:val="28"/>
          <w:szCs w:val="28"/>
        </w:rPr>
        <w:t>以上构件</w:t>
      </w:r>
      <w:r>
        <w:rPr>
          <w:rFonts w:ascii="宋体" w:hAnsi="宋体" w:hint="eastAsia"/>
          <w:sz w:val="28"/>
          <w:szCs w:val="28"/>
        </w:rPr>
        <w:t>(</w:t>
      </w:r>
      <w:r>
        <w:rPr>
          <w:rFonts w:ascii="宋体" w:hAnsi="宋体" w:hint="eastAsia"/>
          <w:sz w:val="28"/>
          <w:szCs w:val="28"/>
        </w:rPr>
        <w:t>含地面装饰面层、结合层、地坪</w:t>
      </w:r>
      <w:r>
        <w:rPr>
          <w:rFonts w:ascii="宋体" w:hAnsi="宋体" w:hint="eastAsia"/>
          <w:sz w:val="28"/>
          <w:szCs w:val="28"/>
        </w:rPr>
        <w:t>)</w:t>
      </w:r>
      <w:r>
        <w:rPr>
          <w:rFonts w:ascii="宋体" w:hAnsi="宋体" w:hint="eastAsia"/>
          <w:sz w:val="28"/>
          <w:szCs w:val="28"/>
        </w:rPr>
        <w:t>（不可调价范围）”</w:t>
      </w:r>
    </w:p>
    <w:p w14:paraId="4DE77665" w14:textId="77777777" w:rsidR="009A5FB0" w:rsidRDefault="00BF1721">
      <w:pPr>
        <w:snapToGrid w:val="0"/>
        <w:spacing w:line="336" w:lineRule="auto"/>
        <w:ind w:firstLineChars="200" w:firstLine="560"/>
        <w:rPr>
          <w:rFonts w:ascii="宋体" w:hAnsi="宋体"/>
          <w:sz w:val="28"/>
          <w:szCs w:val="28"/>
        </w:rPr>
      </w:pPr>
      <w:r>
        <w:rPr>
          <w:rFonts w:ascii="宋体" w:hAnsi="宋体" w:hint="eastAsia"/>
          <w:sz w:val="28"/>
          <w:szCs w:val="28"/>
        </w:rPr>
        <w:t>和，</w:t>
      </w:r>
    </w:p>
    <w:p w14:paraId="43B5CED7" w14:textId="77777777" w:rsidR="009A5FB0" w:rsidRDefault="00BF1721">
      <w:pPr>
        <w:snapToGrid w:val="0"/>
        <w:spacing w:line="336" w:lineRule="auto"/>
        <w:ind w:firstLineChars="200" w:firstLine="560"/>
        <w:rPr>
          <w:rFonts w:ascii="宋体" w:hAnsi="宋体"/>
          <w:sz w:val="28"/>
          <w:szCs w:val="28"/>
        </w:rPr>
      </w:pPr>
      <w:r>
        <w:rPr>
          <w:rFonts w:ascii="宋体" w:hAnsi="宋体" w:hint="eastAsia"/>
          <w:sz w:val="28"/>
          <w:szCs w:val="28"/>
        </w:rPr>
        <w:t>节点（项目名称）：“钢结构装配式主体结构工程及单价措施项目，架空层标高</w:t>
      </w:r>
      <w:r>
        <w:rPr>
          <w:rFonts w:ascii="宋体" w:hAnsi="宋体" w:hint="eastAsia"/>
          <w:sz w:val="28"/>
          <w:szCs w:val="28"/>
        </w:rPr>
        <w:t>-2.8m</w:t>
      </w:r>
      <w:r>
        <w:rPr>
          <w:rFonts w:ascii="宋体" w:hAnsi="宋体" w:hint="eastAsia"/>
          <w:sz w:val="28"/>
          <w:szCs w:val="28"/>
        </w:rPr>
        <w:t>以上构件</w:t>
      </w:r>
      <w:r>
        <w:rPr>
          <w:rFonts w:ascii="宋体" w:hAnsi="宋体" w:hint="eastAsia"/>
          <w:sz w:val="28"/>
          <w:szCs w:val="28"/>
        </w:rPr>
        <w:t>(</w:t>
      </w:r>
      <w:r>
        <w:rPr>
          <w:rFonts w:ascii="宋体" w:hAnsi="宋体" w:hint="eastAsia"/>
          <w:sz w:val="28"/>
          <w:szCs w:val="28"/>
        </w:rPr>
        <w:t>含地面装饰面层、结合层、地坪</w:t>
      </w:r>
      <w:r>
        <w:rPr>
          <w:rFonts w:ascii="宋体" w:hAnsi="宋体" w:hint="eastAsia"/>
          <w:sz w:val="28"/>
          <w:szCs w:val="28"/>
        </w:rPr>
        <w:t>)</w:t>
      </w:r>
      <w:r>
        <w:rPr>
          <w:rFonts w:ascii="宋体" w:hAnsi="宋体" w:hint="eastAsia"/>
          <w:sz w:val="28"/>
          <w:szCs w:val="28"/>
        </w:rPr>
        <w:t>（不可调价范围）（如采用钢结构装</w:t>
      </w:r>
      <w:r>
        <w:rPr>
          <w:rFonts w:ascii="宋体" w:hAnsi="宋体" w:hint="eastAsia"/>
          <w:sz w:val="28"/>
          <w:szCs w:val="28"/>
        </w:rPr>
        <w:t>配式结构形式进行投标，只需填写该部分节点下的投标单价，钢筋混凝土装配式结构形式节点下的投标单价可不填）”</w:t>
      </w:r>
    </w:p>
    <w:p w14:paraId="30CCF941" w14:textId="77777777" w:rsidR="009A5FB0" w:rsidRDefault="00BF1721">
      <w:pPr>
        <w:snapToGrid w:val="0"/>
        <w:spacing w:line="336" w:lineRule="auto"/>
        <w:ind w:firstLineChars="200" w:firstLine="560"/>
        <w:rPr>
          <w:rFonts w:ascii="宋体" w:hAnsi="宋体"/>
          <w:sz w:val="28"/>
          <w:szCs w:val="28"/>
        </w:rPr>
      </w:pPr>
      <w:r>
        <w:rPr>
          <w:rFonts w:ascii="宋体" w:hAnsi="宋体" w:hint="eastAsia"/>
          <w:sz w:val="28"/>
          <w:szCs w:val="28"/>
        </w:rPr>
        <w:t>只能填写一个节点（含节点下的子目）的投标报价，另外一个不填任何报价或者只能填“</w:t>
      </w:r>
      <w:r>
        <w:rPr>
          <w:rFonts w:ascii="宋体" w:hAnsi="宋体" w:hint="eastAsia"/>
          <w:sz w:val="28"/>
          <w:szCs w:val="28"/>
        </w:rPr>
        <w:t>0</w:t>
      </w:r>
      <w:r>
        <w:rPr>
          <w:rFonts w:ascii="宋体" w:hAnsi="宋体" w:hint="eastAsia"/>
          <w:sz w:val="28"/>
          <w:szCs w:val="28"/>
        </w:rPr>
        <w:t>”。</w:t>
      </w:r>
    </w:p>
    <w:p w14:paraId="428302B6" w14:textId="77777777" w:rsidR="009A5FB0" w:rsidRDefault="00BF1721">
      <w:pPr>
        <w:snapToGrid w:val="0"/>
        <w:spacing w:line="336" w:lineRule="auto"/>
        <w:ind w:firstLineChars="200" w:firstLine="560"/>
        <w:rPr>
          <w:rFonts w:ascii="宋体" w:hAnsi="宋体"/>
          <w:sz w:val="28"/>
          <w:szCs w:val="28"/>
        </w:rPr>
      </w:pPr>
      <w:r>
        <w:rPr>
          <w:rFonts w:ascii="宋体" w:hAnsi="宋体" w:hint="eastAsia"/>
          <w:sz w:val="28"/>
          <w:szCs w:val="28"/>
        </w:rPr>
        <w:t>即：</w:t>
      </w:r>
    </w:p>
    <w:p w14:paraId="370BE0A0" w14:textId="77777777" w:rsidR="009A5FB0" w:rsidRDefault="00BF1721">
      <w:pPr>
        <w:snapToGrid w:val="0"/>
        <w:spacing w:line="336" w:lineRule="auto"/>
        <w:ind w:firstLineChars="200" w:firstLine="560"/>
        <w:rPr>
          <w:rFonts w:ascii="宋体" w:hAnsi="宋体"/>
          <w:sz w:val="28"/>
          <w:szCs w:val="28"/>
        </w:rPr>
      </w:pPr>
      <w:r>
        <w:rPr>
          <w:rFonts w:ascii="宋体" w:hAnsi="宋体" w:hint="eastAsia"/>
          <w:sz w:val="28"/>
          <w:szCs w:val="28"/>
        </w:rPr>
        <w:t>如果采用混凝土装配式，节点（项目名称）：“钢筋混凝土装配式主体结构工程及单价措施项目，架空层标高</w:t>
      </w:r>
      <w:r>
        <w:rPr>
          <w:rFonts w:ascii="宋体" w:hAnsi="宋体" w:hint="eastAsia"/>
          <w:sz w:val="28"/>
          <w:szCs w:val="28"/>
        </w:rPr>
        <w:t>-2.8m</w:t>
      </w:r>
      <w:r>
        <w:rPr>
          <w:rFonts w:ascii="宋体" w:hAnsi="宋体" w:hint="eastAsia"/>
          <w:sz w:val="28"/>
          <w:szCs w:val="28"/>
        </w:rPr>
        <w:t>以上构件</w:t>
      </w:r>
      <w:r>
        <w:rPr>
          <w:rFonts w:ascii="宋体" w:hAnsi="宋体" w:hint="eastAsia"/>
          <w:sz w:val="28"/>
          <w:szCs w:val="28"/>
        </w:rPr>
        <w:t>(</w:t>
      </w:r>
      <w:r>
        <w:rPr>
          <w:rFonts w:ascii="宋体" w:hAnsi="宋体" w:hint="eastAsia"/>
          <w:sz w:val="28"/>
          <w:szCs w:val="28"/>
        </w:rPr>
        <w:t>含地</w:t>
      </w:r>
      <w:r>
        <w:rPr>
          <w:rFonts w:ascii="宋体" w:hAnsi="宋体" w:hint="eastAsia"/>
          <w:sz w:val="28"/>
          <w:szCs w:val="28"/>
        </w:rPr>
        <w:lastRenderedPageBreak/>
        <w:t>面装饰面层、结合层、地坪</w:t>
      </w:r>
      <w:r>
        <w:rPr>
          <w:rFonts w:ascii="宋体" w:hAnsi="宋体" w:hint="eastAsia"/>
          <w:sz w:val="28"/>
          <w:szCs w:val="28"/>
        </w:rPr>
        <w:t>)</w:t>
      </w:r>
      <w:r>
        <w:rPr>
          <w:rFonts w:ascii="宋体" w:hAnsi="宋体" w:hint="eastAsia"/>
          <w:sz w:val="28"/>
          <w:szCs w:val="28"/>
        </w:rPr>
        <w:t>（不可调价范围）”及其之下的所有清单子目，由投标人（承包人）根据招标文件、自身经济技术实力、投标策略、市场行情进行投标报价，不填写节点（项目名称）：“钢结构装配式主体结</w:t>
      </w:r>
      <w:r>
        <w:rPr>
          <w:rFonts w:ascii="宋体" w:hAnsi="宋体" w:hint="eastAsia"/>
          <w:sz w:val="28"/>
          <w:szCs w:val="28"/>
        </w:rPr>
        <w:t>构工程及单价措施项目，架空层标高</w:t>
      </w:r>
      <w:r>
        <w:rPr>
          <w:rFonts w:ascii="宋体" w:hAnsi="宋体" w:hint="eastAsia"/>
          <w:sz w:val="28"/>
          <w:szCs w:val="28"/>
        </w:rPr>
        <w:t>-2.8m</w:t>
      </w:r>
      <w:r>
        <w:rPr>
          <w:rFonts w:ascii="宋体" w:hAnsi="宋体" w:hint="eastAsia"/>
          <w:sz w:val="28"/>
          <w:szCs w:val="28"/>
        </w:rPr>
        <w:t>以上构件</w:t>
      </w:r>
      <w:r>
        <w:rPr>
          <w:rFonts w:ascii="宋体" w:hAnsi="宋体" w:hint="eastAsia"/>
          <w:sz w:val="28"/>
          <w:szCs w:val="28"/>
        </w:rPr>
        <w:t>(</w:t>
      </w:r>
      <w:r>
        <w:rPr>
          <w:rFonts w:ascii="宋体" w:hAnsi="宋体" w:hint="eastAsia"/>
          <w:sz w:val="28"/>
          <w:szCs w:val="28"/>
        </w:rPr>
        <w:t>含地面装饰面层、结合层、地坪</w:t>
      </w:r>
      <w:r>
        <w:rPr>
          <w:rFonts w:ascii="宋体" w:hAnsi="宋体" w:hint="eastAsia"/>
          <w:sz w:val="28"/>
          <w:szCs w:val="28"/>
        </w:rPr>
        <w:t>)</w:t>
      </w:r>
      <w:r>
        <w:rPr>
          <w:rFonts w:ascii="宋体" w:hAnsi="宋体" w:hint="eastAsia"/>
          <w:sz w:val="28"/>
          <w:szCs w:val="28"/>
        </w:rPr>
        <w:t>（不可调价范围）（如采用钢结构装配式结构形式进行投标，只需填写该部分节点下的投标单价，钢筋混凝土装配式结构形式节点下的投标单价可不填）”的投标报价，或者，填</w:t>
      </w:r>
      <w:r>
        <w:rPr>
          <w:rFonts w:ascii="宋体" w:hAnsi="宋体" w:hint="eastAsia"/>
          <w:sz w:val="28"/>
          <w:szCs w:val="28"/>
        </w:rPr>
        <w:t>“</w:t>
      </w:r>
      <w:r>
        <w:rPr>
          <w:rFonts w:ascii="宋体" w:hAnsi="宋体" w:hint="eastAsia"/>
          <w:sz w:val="28"/>
          <w:szCs w:val="28"/>
        </w:rPr>
        <w:t>0</w:t>
      </w:r>
      <w:r>
        <w:rPr>
          <w:rFonts w:ascii="宋体" w:hAnsi="宋体" w:hint="eastAsia"/>
          <w:sz w:val="28"/>
          <w:szCs w:val="28"/>
        </w:rPr>
        <w:t>”</w:t>
      </w:r>
      <w:r>
        <w:rPr>
          <w:rFonts w:ascii="宋体" w:hAnsi="宋体" w:hint="eastAsia"/>
          <w:sz w:val="28"/>
          <w:szCs w:val="28"/>
        </w:rPr>
        <w:t>；</w:t>
      </w:r>
    </w:p>
    <w:p w14:paraId="5DB5322A" w14:textId="77777777" w:rsidR="009A5FB0" w:rsidRDefault="00BF1721">
      <w:pPr>
        <w:snapToGrid w:val="0"/>
        <w:spacing w:line="336" w:lineRule="auto"/>
        <w:ind w:firstLineChars="200" w:firstLine="560"/>
        <w:rPr>
          <w:rFonts w:ascii="宋体" w:hAnsi="宋体"/>
          <w:sz w:val="28"/>
          <w:szCs w:val="28"/>
        </w:rPr>
      </w:pPr>
      <w:r>
        <w:rPr>
          <w:rFonts w:ascii="宋体" w:hAnsi="宋体" w:hint="eastAsia"/>
          <w:sz w:val="28"/>
          <w:szCs w:val="28"/>
        </w:rPr>
        <w:t>如果采用非混凝土结构的装配式，节点（项目名称）：“钢筋混凝土装配式主体结构工程及单价措施项目，架空层标高</w:t>
      </w:r>
      <w:r>
        <w:rPr>
          <w:rFonts w:ascii="宋体" w:hAnsi="宋体" w:hint="eastAsia"/>
          <w:sz w:val="28"/>
          <w:szCs w:val="28"/>
        </w:rPr>
        <w:t>-2.8m</w:t>
      </w:r>
      <w:r>
        <w:rPr>
          <w:rFonts w:ascii="宋体" w:hAnsi="宋体" w:hint="eastAsia"/>
          <w:sz w:val="28"/>
          <w:szCs w:val="28"/>
        </w:rPr>
        <w:t>以上构件</w:t>
      </w:r>
      <w:r>
        <w:rPr>
          <w:rFonts w:ascii="宋体" w:hAnsi="宋体" w:hint="eastAsia"/>
          <w:sz w:val="28"/>
          <w:szCs w:val="28"/>
        </w:rPr>
        <w:t>(</w:t>
      </w:r>
      <w:r>
        <w:rPr>
          <w:rFonts w:ascii="宋体" w:hAnsi="宋体" w:hint="eastAsia"/>
          <w:sz w:val="28"/>
          <w:szCs w:val="28"/>
        </w:rPr>
        <w:t>含地面装饰面层、结合层、地坪</w:t>
      </w:r>
      <w:r>
        <w:rPr>
          <w:rFonts w:ascii="宋体" w:hAnsi="宋体" w:hint="eastAsia"/>
          <w:sz w:val="28"/>
          <w:szCs w:val="28"/>
        </w:rPr>
        <w:t>)</w:t>
      </w:r>
      <w:r>
        <w:rPr>
          <w:rFonts w:ascii="宋体" w:hAnsi="宋体" w:hint="eastAsia"/>
          <w:sz w:val="28"/>
          <w:szCs w:val="28"/>
        </w:rPr>
        <w:t>（不可调价范围）”及其之下的所有清单子目，不要填写，或者，填</w:t>
      </w:r>
      <w:r>
        <w:rPr>
          <w:rFonts w:ascii="宋体" w:hAnsi="宋体" w:hint="eastAsia"/>
          <w:sz w:val="28"/>
          <w:szCs w:val="28"/>
        </w:rPr>
        <w:t>“</w:t>
      </w:r>
      <w:r>
        <w:rPr>
          <w:rFonts w:ascii="宋体" w:hAnsi="宋体" w:hint="eastAsia"/>
          <w:sz w:val="28"/>
          <w:szCs w:val="28"/>
        </w:rPr>
        <w:t>0</w:t>
      </w:r>
      <w:r>
        <w:rPr>
          <w:rFonts w:ascii="宋体" w:hAnsi="宋体" w:hint="eastAsia"/>
          <w:sz w:val="28"/>
          <w:szCs w:val="28"/>
        </w:rPr>
        <w:t>”</w:t>
      </w:r>
      <w:r>
        <w:rPr>
          <w:rFonts w:ascii="宋体" w:hAnsi="宋体" w:hint="eastAsia"/>
          <w:sz w:val="28"/>
          <w:szCs w:val="28"/>
        </w:rPr>
        <w:t>；节点（项目名称）：“钢结构装配式主体结构工程及单价措施项目，架空层标高</w:t>
      </w:r>
      <w:r>
        <w:rPr>
          <w:rFonts w:ascii="宋体" w:hAnsi="宋体" w:hint="eastAsia"/>
          <w:sz w:val="28"/>
          <w:szCs w:val="28"/>
        </w:rPr>
        <w:t>-2.8m</w:t>
      </w:r>
      <w:r>
        <w:rPr>
          <w:rFonts w:ascii="宋体" w:hAnsi="宋体" w:hint="eastAsia"/>
          <w:sz w:val="28"/>
          <w:szCs w:val="28"/>
        </w:rPr>
        <w:t>以上构件</w:t>
      </w:r>
      <w:r>
        <w:rPr>
          <w:rFonts w:ascii="宋体" w:hAnsi="宋体" w:hint="eastAsia"/>
          <w:sz w:val="28"/>
          <w:szCs w:val="28"/>
        </w:rPr>
        <w:t>(</w:t>
      </w:r>
      <w:r>
        <w:rPr>
          <w:rFonts w:ascii="宋体" w:hAnsi="宋体" w:hint="eastAsia"/>
          <w:sz w:val="28"/>
          <w:szCs w:val="28"/>
        </w:rPr>
        <w:t>含地面装饰面层、结合层、地坪</w:t>
      </w:r>
      <w:r>
        <w:rPr>
          <w:rFonts w:ascii="宋体" w:hAnsi="宋体" w:hint="eastAsia"/>
          <w:sz w:val="28"/>
          <w:szCs w:val="28"/>
        </w:rPr>
        <w:t>)</w:t>
      </w:r>
      <w:r>
        <w:rPr>
          <w:rFonts w:ascii="宋体" w:hAnsi="宋体" w:hint="eastAsia"/>
          <w:sz w:val="28"/>
          <w:szCs w:val="28"/>
        </w:rPr>
        <w:t>（不可调价范围）（如采用钢结构装配式结构形式进行投标，只需填写该部分节点下的投标单价，钢筋混凝土装配式结构形式节点下的投标单价可不填）”，由投标人（承包人）根据招标文件、自身经济技术实力、投标策略、市场行情进行投标报价</w:t>
      </w:r>
      <w:r>
        <w:rPr>
          <w:rFonts w:ascii="宋体" w:hAnsi="宋体" w:hint="eastAsia"/>
          <w:sz w:val="28"/>
          <w:szCs w:val="28"/>
        </w:rPr>
        <w:t>；</w:t>
      </w:r>
    </w:p>
    <w:p w14:paraId="0B525F82" w14:textId="77777777" w:rsidR="009A5FB0" w:rsidRDefault="00BF1721">
      <w:pPr>
        <w:snapToGrid w:val="0"/>
        <w:spacing w:line="336" w:lineRule="auto"/>
        <w:ind w:firstLineChars="200" w:firstLine="560"/>
        <w:rPr>
          <w:rFonts w:ascii="宋体" w:hAnsi="宋体"/>
          <w:sz w:val="28"/>
          <w:szCs w:val="28"/>
        </w:rPr>
      </w:pPr>
      <w:r>
        <w:rPr>
          <w:rFonts w:ascii="宋体" w:hAnsi="宋体" w:hint="eastAsia"/>
          <w:sz w:val="28"/>
          <w:szCs w:val="28"/>
        </w:rPr>
        <w:t>两</w:t>
      </w:r>
      <w:r>
        <w:rPr>
          <w:rFonts w:ascii="宋体" w:hAnsi="宋体" w:hint="eastAsia"/>
          <w:sz w:val="28"/>
          <w:szCs w:val="28"/>
        </w:rPr>
        <w:t>个节点（含节点下的子目）均出现了投标报价，无论报价是多少，在评标阶段，将做废标处理；如果评标阶段没有被发现，在实施阶段，将由招标人（发包人）指定其中的一个投标报价，作</w:t>
      </w:r>
      <w:r>
        <w:rPr>
          <w:rFonts w:ascii="宋体" w:hAnsi="宋体" w:hint="eastAsia"/>
          <w:sz w:val="28"/>
          <w:szCs w:val="28"/>
        </w:rPr>
        <w:t>为结算的依据。</w:t>
      </w:r>
    </w:p>
    <w:p w14:paraId="7226C76E" w14:textId="77777777" w:rsidR="009A5FB0" w:rsidRDefault="00BF1721">
      <w:pPr>
        <w:numPr>
          <w:ilvl w:val="0"/>
          <w:numId w:val="3"/>
        </w:numPr>
        <w:snapToGrid w:val="0"/>
        <w:spacing w:line="336" w:lineRule="auto"/>
        <w:rPr>
          <w:rFonts w:ascii="宋体" w:hAnsi="宋体"/>
          <w:sz w:val="28"/>
          <w:szCs w:val="28"/>
        </w:rPr>
      </w:pPr>
      <w:r>
        <w:rPr>
          <w:rFonts w:ascii="宋体" w:hAnsi="宋体" w:hint="eastAsia"/>
          <w:sz w:val="28"/>
          <w:szCs w:val="28"/>
        </w:rPr>
        <w:t>投标</w:t>
      </w:r>
      <w:r>
        <w:rPr>
          <w:rFonts w:ascii="宋体" w:hAnsi="宋体" w:hint="eastAsia"/>
          <w:sz w:val="28"/>
          <w:szCs w:val="28"/>
        </w:rPr>
        <w:t>人须</w:t>
      </w:r>
      <w:r>
        <w:rPr>
          <w:rFonts w:ascii="宋体" w:hAnsi="宋体" w:hint="eastAsia"/>
          <w:sz w:val="28"/>
          <w:szCs w:val="28"/>
        </w:rPr>
        <w:t>根据施工实际需要</w:t>
      </w:r>
      <w:r>
        <w:rPr>
          <w:rFonts w:ascii="宋体" w:hAnsi="宋体" w:hint="eastAsia"/>
          <w:smallCaps/>
          <w:sz w:val="28"/>
          <w:szCs w:val="28"/>
        </w:rPr>
        <w:t>及投标基</w:t>
      </w:r>
      <w:r>
        <w:rPr>
          <w:rFonts w:ascii="宋体" w:hAnsi="宋体" w:hint="eastAsia"/>
          <w:sz w:val="28"/>
          <w:szCs w:val="28"/>
        </w:rPr>
        <w:t>准日（开标前</w:t>
      </w:r>
      <w:r>
        <w:rPr>
          <w:rFonts w:ascii="宋体" w:hAnsi="宋体" w:hint="eastAsia"/>
          <w:sz w:val="28"/>
          <w:szCs w:val="28"/>
        </w:rPr>
        <w:t>28</w:t>
      </w:r>
      <w:r>
        <w:rPr>
          <w:rFonts w:ascii="宋体" w:hAnsi="宋体" w:hint="eastAsia"/>
          <w:sz w:val="28"/>
          <w:szCs w:val="28"/>
        </w:rPr>
        <w:t>天）已生效或已颁布即将生效的法律、法规、规范、标准、政策性文件的规定</w:t>
      </w:r>
      <w:r>
        <w:rPr>
          <w:rFonts w:ascii="宋体" w:hAnsi="宋体" w:hint="eastAsia"/>
          <w:sz w:val="28"/>
          <w:szCs w:val="28"/>
        </w:rPr>
        <w:t>；</w:t>
      </w:r>
    </w:p>
    <w:p w14:paraId="54BDB28F" w14:textId="77777777" w:rsidR="009A5FB0" w:rsidRDefault="00BF1721">
      <w:pPr>
        <w:numPr>
          <w:ilvl w:val="0"/>
          <w:numId w:val="3"/>
        </w:numPr>
        <w:snapToGrid w:val="0"/>
        <w:spacing w:line="336" w:lineRule="auto"/>
        <w:rPr>
          <w:rFonts w:ascii="宋体" w:hAnsi="宋体"/>
          <w:sz w:val="28"/>
          <w:szCs w:val="28"/>
        </w:rPr>
      </w:pPr>
      <w:r>
        <w:rPr>
          <w:rFonts w:ascii="宋体" w:hAnsi="宋体" w:hint="eastAsia"/>
          <w:sz w:val="28"/>
          <w:szCs w:val="28"/>
        </w:rPr>
        <w:t>建筑</w:t>
      </w:r>
      <w:r>
        <w:rPr>
          <w:rFonts w:ascii="宋体" w:hAnsi="宋体" w:hint="eastAsia"/>
          <w:sz w:val="28"/>
          <w:szCs w:val="28"/>
        </w:rPr>
        <w:t>土石方及</w:t>
      </w:r>
      <w:r>
        <w:rPr>
          <w:rFonts w:ascii="宋体" w:hAnsi="宋体" w:hint="eastAsia"/>
          <w:sz w:val="28"/>
          <w:szCs w:val="28"/>
        </w:rPr>
        <w:t>垃圾外运</w:t>
      </w:r>
      <w:r>
        <w:rPr>
          <w:rFonts w:ascii="宋体" w:hAnsi="宋体" w:hint="eastAsia"/>
          <w:sz w:val="28"/>
          <w:szCs w:val="28"/>
          <w:lang w:val="en-IE"/>
        </w:rPr>
        <w:t>不论土质的类别、</w:t>
      </w:r>
      <w:r>
        <w:rPr>
          <w:rFonts w:ascii="宋体" w:hAnsi="宋体" w:hint="eastAsia"/>
          <w:sz w:val="28"/>
          <w:szCs w:val="28"/>
        </w:rPr>
        <w:t>含水率、</w:t>
      </w:r>
      <w:r>
        <w:rPr>
          <w:rFonts w:ascii="宋体" w:hAnsi="宋体" w:hint="eastAsia"/>
          <w:sz w:val="28"/>
          <w:szCs w:val="28"/>
          <w:lang w:val="en-IE"/>
        </w:rPr>
        <w:t>运输方式、转运次数，结算时综合单价不再进行调整，采用新型智能环保车，运</w:t>
      </w:r>
      <w:r>
        <w:rPr>
          <w:rFonts w:ascii="宋体" w:hAnsi="宋体" w:hint="eastAsia"/>
          <w:sz w:val="28"/>
          <w:szCs w:val="28"/>
          <w:lang w:val="en-IE"/>
        </w:rPr>
        <w:lastRenderedPageBreak/>
        <w:t>距自行考虑，运出中南大学所属地块，包含楼面垃圾清运下楼费、运土卫生费、办证费、卸土区占用费、渣土费、清理费、协调费、清表费等所有费用，须符合长沙市现行一切规定</w:t>
      </w:r>
      <w:r>
        <w:rPr>
          <w:rFonts w:ascii="宋体" w:hAnsi="宋体" w:hint="eastAsia"/>
          <w:sz w:val="28"/>
          <w:szCs w:val="28"/>
        </w:rPr>
        <w:t>；</w:t>
      </w:r>
    </w:p>
    <w:p w14:paraId="0C77EB7F" w14:textId="77777777" w:rsidR="009A5FB0" w:rsidRDefault="00BF1721">
      <w:pPr>
        <w:numPr>
          <w:ilvl w:val="0"/>
          <w:numId w:val="3"/>
        </w:numPr>
        <w:snapToGrid w:val="0"/>
        <w:spacing w:line="336" w:lineRule="auto"/>
        <w:rPr>
          <w:rFonts w:ascii="宋体" w:hAnsi="宋体"/>
          <w:sz w:val="28"/>
          <w:szCs w:val="28"/>
        </w:rPr>
      </w:pPr>
      <w:r>
        <w:rPr>
          <w:rFonts w:ascii="宋体" w:hAnsi="宋体" w:hint="eastAsia"/>
          <w:sz w:val="28"/>
          <w:szCs w:val="28"/>
        </w:rPr>
        <w:t>本项目的所有报批、报建、竣工验收、各种档案备案、办理房产证</w:t>
      </w:r>
      <w:r>
        <w:rPr>
          <w:rFonts w:ascii="宋体" w:hAnsi="宋体" w:hint="eastAsia"/>
          <w:sz w:val="28"/>
          <w:szCs w:val="28"/>
        </w:rPr>
        <w:t>（</w:t>
      </w:r>
      <w:r>
        <w:rPr>
          <w:rFonts w:ascii="宋体" w:hAnsi="宋体" w:hint="eastAsia"/>
          <w:sz w:val="28"/>
          <w:szCs w:val="28"/>
        </w:rPr>
        <w:t>不动产权证</w:t>
      </w:r>
      <w:r>
        <w:rPr>
          <w:rFonts w:ascii="宋体" w:hAnsi="宋体" w:hint="eastAsia"/>
          <w:sz w:val="28"/>
          <w:szCs w:val="28"/>
        </w:rPr>
        <w:t>）</w:t>
      </w:r>
      <w:r>
        <w:rPr>
          <w:rFonts w:ascii="宋体" w:hAnsi="宋体" w:hint="eastAsia"/>
          <w:sz w:val="28"/>
          <w:szCs w:val="28"/>
        </w:rPr>
        <w:t>手续，包括但不限于规划、国土、房产、消防、园林、城管、住建、人防、气象防雷、劳动、岳麓山风景区管理局、文物、水务、排水、自来水、电力、燃气、地铁、档案等政府部门或实体，均由中标人负责办理。由政府部门向建设单位</w:t>
      </w:r>
      <w:r>
        <w:rPr>
          <w:rFonts w:ascii="宋体" w:hAnsi="宋体" w:hint="eastAsia"/>
          <w:sz w:val="28"/>
          <w:szCs w:val="28"/>
        </w:rPr>
        <w:t>开具收据或发票的政府性收费，由建设方支付费用，其余均应包含在</w:t>
      </w:r>
      <w:r>
        <w:rPr>
          <w:rFonts w:ascii="宋体" w:hAnsi="宋体" w:hint="eastAsia"/>
          <w:sz w:val="28"/>
          <w:szCs w:val="28"/>
        </w:rPr>
        <w:t>投标</w:t>
      </w:r>
      <w:r>
        <w:rPr>
          <w:rFonts w:ascii="宋体" w:hAnsi="宋体" w:hint="eastAsia"/>
          <w:sz w:val="28"/>
          <w:szCs w:val="28"/>
        </w:rPr>
        <w:t>报价中。由于中标人未能及时办理各种报批报建手续导致的政府部门开具的罚款（含滞纳金）由中标人承担；</w:t>
      </w:r>
    </w:p>
    <w:p w14:paraId="6F922EEA" w14:textId="77777777" w:rsidR="009A5FB0" w:rsidRDefault="00BF1721">
      <w:pPr>
        <w:numPr>
          <w:ilvl w:val="0"/>
          <w:numId w:val="3"/>
        </w:numPr>
        <w:snapToGrid w:val="0"/>
        <w:spacing w:line="336" w:lineRule="auto"/>
        <w:rPr>
          <w:rFonts w:ascii="宋体" w:hAnsi="宋体"/>
          <w:sz w:val="28"/>
          <w:szCs w:val="28"/>
        </w:rPr>
      </w:pPr>
      <w:r>
        <w:rPr>
          <w:rFonts w:ascii="宋体" w:hAnsi="宋体" w:hint="eastAsia"/>
          <w:sz w:val="28"/>
          <w:szCs w:val="28"/>
        </w:rPr>
        <w:t>投标人须根据</w:t>
      </w:r>
      <w:r>
        <w:rPr>
          <w:rFonts w:ascii="宋体" w:hAnsi="宋体" w:hint="eastAsia"/>
          <w:sz w:val="28"/>
          <w:szCs w:val="28"/>
        </w:rPr>
        <w:t>招标人提供的相关文件，对其中各类</w:t>
      </w:r>
      <w:r>
        <w:rPr>
          <w:rFonts w:ascii="宋体" w:hAnsi="宋体" w:hint="eastAsia"/>
          <w:sz w:val="28"/>
          <w:szCs w:val="28"/>
        </w:rPr>
        <w:t>功能需求预留合理的穿管孔洞并预埋相应的电气配管回路</w:t>
      </w:r>
      <w:r>
        <w:rPr>
          <w:rFonts w:ascii="宋体" w:hAnsi="宋体" w:hint="eastAsia"/>
          <w:sz w:val="28"/>
          <w:szCs w:val="28"/>
        </w:rPr>
        <w:t>；</w:t>
      </w:r>
      <w:r>
        <w:rPr>
          <w:rFonts w:ascii="宋体" w:hAnsi="宋体" w:hint="eastAsia"/>
          <w:sz w:val="28"/>
          <w:szCs w:val="28"/>
        </w:rPr>
        <w:t>开关插座须</w:t>
      </w:r>
      <w:r>
        <w:rPr>
          <w:rFonts w:ascii="宋体" w:hAnsi="宋体" w:hint="eastAsia"/>
          <w:sz w:val="28"/>
          <w:szCs w:val="28"/>
        </w:rPr>
        <w:t>对照电气及家具等相关专业的图纸、功能需求品质需求文件、公证书等进行比较，</w:t>
      </w:r>
      <w:r>
        <w:rPr>
          <w:rFonts w:ascii="宋体" w:hAnsi="宋体" w:hint="eastAsia"/>
          <w:sz w:val="28"/>
          <w:szCs w:val="28"/>
        </w:rPr>
        <w:t>在</w:t>
      </w:r>
      <w:r>
        <w:rPr>
          <w:rFonts w:ascii="宋体" w:hAnsi="宋体" w:hint="eastAsia"/>
          <w:sz w:val="28"/>
          <w:szCs w:val="28"/>
        </w:rPr>
        <w:t>装配式墙板等预制构件</w:t>
      </w:r>
      <w:r>
        <w:rPr>
          <w:rFonts w:ascii="宋体" w:hAnsi="宋体" w:hint="eastAsia"/>
          <w:sz w:val="28"/>
          <w:szCs w:val="28"/>
        </w:rPr>
        <w:t>施工前与</w:t>
      </w:r>
      <w:r>
        <w:rPr>
          <w:rFonts w:ascii="宋体" w:hAnsi="宋体" w:hint="eastAsia"/>
          <w:sz w:val="28"/>
          <w:szCs w:val="28"/>
        </w:rPr>
        <w:t>招标人</w:t>
      </w:r>
      <w:r>
        <w:rPr>
          <w:rFonts w:ascii="宋体" w:hAnsi="宋体" w:hint="eastAsia"/>
          <w:sz w:val="28"/>
          <w:szCs w:val="28"/>
        </w:rPr>
        <w:t>沟通，书面确认最终位置后方可施工；</w:t>
      </w:r>
    </w:p>
    <w:p w14:paraId="561EC7A9" w14:textId="77777777" w:rsidR="009A5FB0" w:rsidRDefault="00BF1721">
      <w:pPr>
        <w:numPr>
          <w:ilvl w:val="0"/>
          <w:numId w:val="3"/>
        </w:numPr>
        <w:snapToGrid w:val="0"/>
        <w:spacing w:line="336" w:lineRule="auto"/>
        <w:rPr>
          <w:rFonts w:ascii="宋体" w:hAnsi="宋体"/>
          <w:sz w:val="28"/>
          <w:szCs w:val="28"/>
        </w:rPr>
      </w:pPr>
      <w:r>
        <w:rPr>
          <w:rFonts w:ascii="宋体" w:hAnsi="宋体" w:hint="eastAsia"/>
          <w:sz w:val="28"/>
          <w:szCs w:val="28"/>
        </w:rPr>
        <w:t>投标人须根据相关消防规范</w:t>
      </w:r>
      <w:r>
        <w:rPr>
          <w:rFonts w:ascii="宋体" w:hAnsi="宋体" w:hint="eastAsia"/>
          <w:sz w:val="28"/>
          <w:szCs w:val="28"/>
        </w:rPr>
        <w:t>及中南大学保卫处的相关要求，</w:t>
      </w:r>
      <w:r>
        <w:rPr>
          <w:rFonts w:ascii="宋体" w:hAnsi="宋体" w:hint="eastAsia"/>
          <w:sz w:val="28"/>
          <w:szCs w:val="28"/>
        </w:rPr>
        <w:t>配置相应的消防设备，并根据投标基准日（开标前</w:t>
      </w:r>
      <w:r>
        <w:rPr>
          <w:rFonts w:ascii="宋体" w:hAnsi="宋体" w:hint="eastAsia"/>
          <w:sz w:val="28"/>
          <w:szCs w:val="28"/>
        </w:rPr>
        <w:t>28</w:t>
      </w:r>
      <w:r>
        <w:rPr>
          <w:rFonts w:ascii="宋体" w:hAnsi="宋体" w:hint="eastAsia"/>
          <w:sz w:val="28"/>
          <w:szCs w:val="28"/>
        </w:rPr>
        <w:t>天）已生效或已颁布即将生效的法律、法规、规范、标准、政策性文件的要求，合理选择设备、管道、管件数量及规格，达到消防验收标准并通过验收；</w:t>
      </w:r>
    </w:p>
    <w:p w14:paraId="75DE7396" w14:textId="77777777" w:rsidR="009A5FB0" w:rsidRDefault="00BF1721">
      <w:pPr>
        <w:numPr>
          <w:ilvl w:val="0"/>
          <w:numId w:val="3"/>
        </w:numPr>
        <w:snapToGrid w:val="0"/>
        <w:spacing w:line="336" w:lineRule="auto"/>
        <w:rPr>
          <w:rFonts w:ascii="宋体" w:hAnsi="宋体"/>
          <w:sz w:val="28"/>
          <w:szCs w:val="28"/>
        </w:rPr>
      </w:pPr>
      <w:r>
        <w:rPr>
          <w:rFonts w:ascii="宋体" w:hAnsi="宋体" w:hint="eastAsia"/>
          <w:sz w:val="28"/>
          <w:szCs w:val="28"/>
        </w:rPr>
        <w:t>本次</w:t>
      </w:r>
      <w:r>
        <w:rPr>
          <w:rFonts w:ascii="宋体" w:hAnsi="宋体" w:hint="eastAsia"/>
          <w:sz w:val="28"/>
          <w:szCs w:val="28"/>
        </w:rPr>
        <w:t>施工范围包含</w:t>
      </w:r>
      <w:r>
        <w:rPr>
          <w:rFonts w:ascii="宋体" w:hAnsi="宋体" w:cs="宋体" w:hint="eastAsia"/>
          <w:sz w:val="28"/>
          <w:szCs w:val="28"/>
        </w:rPr>
        <w:t>整个红线范围内</w:t>
      </w:r>
      <w:r>
        <w:rPr>
          <w:rFonts w:ascii="宋体" w:hAnsi="宋体" w:cs="宋体" w:hint="eastAsia"/>
          <w:sz w:val="28"/>
          <w:szCs w:val="28"/>
        </w:rPr>
        <w:t>待建宿舍所在</w:t>
      </w:r>
      <w:r>
        <w:rPr>
          <w:rFonts w:ascii="宋体" w:hAnsi="宋体" w:cs="宋体" w:hint="eastAsia"/>
          <w:sz w:val="28"/>
          <w:szCs w:val="28"/>
        </w:rPr>
        <w:t>的现有</w:t>
      </w:r>
      <w:r>
        <w:rPr>
          <w:rFonts w:ascii="宋体" w:hAnsi="宋体" w:cs="宋体" w:hint="eastAsia"/>
          <w:sz w:val="28"/>
          <w:szCs w:val="28"/>
        </w:rPr>
        <w:t>场地地</w:t>
      </w:r>
      <w:r>
        <w:rPr>
          <w:rFonts w:ascii="宋体" w:hAnsi="宋体" w:cs="宋体" w:hint="eastAsia"/>
          <w:sz w:val="28"/>
          <w:szCs w:val="28"/>
        </w:rPr>
        <w:t>面破除、场地内堆砌的土石方</w:t>
      </w:r>
      <w:r>
        <w:rPr>
          <w:rFonts w:ascii="宋体" w:hAnsi="宋体" w:cs="宋体" w:hint="eastAsia"/>
          <w:sz w:val="28"/>
          <w:szCs w:val="28"/>
        </w:rPr>
        <w:t>及各类垃圾</w:t>
      </w:r>
      <w:r>
        <w:rPr>
          <w:rFonts w:ascii="宋体" w:hAnsi="宋体" w:cs="宋体" w:hint="eastAsia"/>
          <w:sz w:val="28"/>
          <w:szCs w:val="28"/>
        </w:rPr>
        <w:t>挖运、场地平整至设计室外标高等内容</w:t>
      </w:r>
      <w:r>
        <w:rPr>
          <w:rFonts w:ascii="宋体" w:hAnsi="宋体" w:cs="宋体" w:hint="eastAsia"/>
          <w:sz w:val="28"/>
          <w:szCs w:val="28"/>
        </w:rPr>
        <w:t>，</w:t>
      </w:r>
      <w:r>
        <w:rPr>
          <w:rFonts w:ascii="宋体" w:hAnsi="宋体" w:cs="宋体" w:hint="eastAsia"/>
          <w:sz w:val="28"/>
          <w:szCs w:val="28"/>
        </w:rPr>
        <w:t>投标人须进行现场踏勘结合实际情况综合考虑后进行报价</w:t>
      </w:r>
      <w:r>
        <w:rPr>
          <w:rFonts w:ascii="宋体" w:hAnsi="宋体" w:hint="eastAsia"/>
          <w:sz w:val="28"/>
          <w:szCs w:val="28"/>
        </w:rPr>
        <w:t>；</w:t>
      </w:r>
    </w:p>
    <w:p w14:paraId="72052F7C" w14:textId="77777777" w:rsidR="009A5FB0" w:rsidRDefault="00BF1721">
      <w:pPr>
        <w:numPr>
          <w:ilvl w:val="0"/>
          <w:numId w:val="3"/>
        </w:numPr>
        <w:snapToGrid w:val="0"/>
        <w:spacing w:line="336" w:lineRule="auto"/>
        <w:rPr>
          <w:rFonts w:ascii="宋体" w:hAnsi="宋体"/>
          <w:sz w:val="28"/>
          <w:szCs w:val="28"/>
        </w:rPr>
      </w:pPr>
      <w:r>
        <w:rPr>
          <w:rFonts w:ascii="宋体" w:hAnsi="宋体" w:hint="eastAsia"/>
          <w:sz w:val="28"/>
          <w:szCs w:val="28"/>
        </w:rPr>
        <w:t>室外水电接入按图示位置计算，投标人须现场踏勘并进行最终确认；</w:t>
      </w:r>
    </w:p>
    <w:p w14:paraId="4BFB9AC3" w14:textId="77777777" w:rsidR="009A5FB0" w:rsidRDefault="00BF1721">
      <w:pPr>
        <w:numPr>
          <w:ilvl w:val="0"/>
          <w:numId w:val="3"/>
        </w:numPr>
        <w:snapToGrid w:val="0"/>
        <w:spacing w:line="336" w:lineRule="auto"/>
        <w:rPr>
          <w:rFonts w:ascii="宋体" w:hAnsi="宋体"/>
          <w:sz w:val="28"/>
          <w:szCs w:val="28"/>
        </w:rPr>
      </w:pPr>
      <w:r>
        <w:rPr>
          <w:rFonts w:ascii="宋体" w:hAnsi="宋体" w:hint="eastAsia"/>
          <w:sz w:val="28"/>
          <w:szCs w:val="28"/>
        </w:rPr>
        <w:t>远程智能抄表系统、监控</w:t>
      </w:r>
      <w:r>
        <w:rPr>
          <w:rFonts w:ascii="宋体" w:hAnsi="宋体" w:hint="eastAsia"/>
          <w:sz w:val="28"/>
          <w:szCs w:val="28"/>
        </w:rPr>
        <w:t>设备</w:t>
      </w:r>
      <w:r>
        <w:rPr>
          <w:rFonts w:ascii="宋体" w:hAnsi="宋体" w:hint="eastAsia"/>
          <w:sz w:val="28"/>
          <w:szCs w:val="28"/>
        </w:rPr>
        <w:t>、</w:t>
      </w:r>
      <w:r>
        <w:rPr>
          <w:rFonts w:ascii="宋体" w:hAnsi="宋体" w:hint="eastAsia"/>
          <w:sz w:val="28"/>
          <w:szCs w:val="28"/>
        </w:rPr>
        <w:t>一卡通、门禁、无线门锁、</w:t>
      </w:r>
      <w:r>
        <w:rPr>
          <w:rFonts w:ascii="宋体" w:hAnsi="宋体" w:hint="eastAsia"/>
          <w:sz w:val="28"/>
          <w:szCs w:val="28"/>
        </w:rPr>
        <w:t>水</w:t>
      </w:r>
      <w:r>
        <w:rPr>
          <w:rFonts w:ascii="宋体" w:hAnsi="宋体" w:hint="eastAsia"/>
          <w:sz w:val="28"/>
          <w:szCs w:val="28"/>
        </w:rPr>
        <w:lastRenderedPageBreak/>
        <w:t>电表能耗采集、</w:t>
      </w:r>
      <w:r>
        <w:rPr>
          <w:rFonts w:ascii="宋体" w:hAnsi="宋体" w:hint="eastAsia"/>
          <w:sz w:val="28"/>
          <w:szCs w:val="28"/>
        </w:rPr>
        <w:t>各类弱电设备</w:t>
      </w:r>
      <w:r>
        <w:rPr>
          <w:rFonts w:ascii="宋体" w:hAnsi="宋体" w:hint="eastAsia"/>
          <w:sz w:val="28"/>
          <w:szCs w:val="28"/>
        </w:rPr>
        <w:t>等设备及系统均须与学校相关系统兼容</w:t>
      </w:r>
      <w:r>
        <w:rPr>
          <w:rFonts w:ascii="宋体" w:hAnsi="宋体" w:hint="eastAsia"/>
          <w:sz w:val="28"/>
          <w:szCs w:val="28"/>
        </w:rPr>
        <w:t>，</w:t>
      </w:r>
      <w:r>
        <w:rPr>
          <w:rFonts w:ascii="宋体" w:hAnsi="宋体" w:hint="eastAsia"/>
          <w:sz w:val="28"/>
          <w:szCs w:val="28"/>
        </w:rPr>
        <w:t>各类相关协调、沟通等相关因素均需综合考虑到投标报价中</w:t>
      </w:r>
      <w:r>
        <w:rPr>
          <w:rFonts w:ascii="宋体" w:hAnsi="宋体" w:hint="eastAsia"/>
          <w:sz w:val="28"/>
          <w:szCs w:val="28"/>
        </w:rPr>
        <w:t>；</w:t>
      </w:r>
    </w:p>
    <w:p w14:paraId="0E6D0847" w14:textId="77777777" w:rsidR="009A5FB0" w:rsidRDefault="00BF1721">
      <w:pPr>
        <w:numPr>
          <w:ilvl w:val="0"/>
          <w:numId w:val="3"/>
        </w:numPr>
        <w:snapToGrid w:val="0"/>
        <w:spacing w:line="336" w:lineRule="auto"/>
        <w:rPr>
          <w:rFonts w:ascii="宋体" w:hAnsi="宋体"/>
          <w:sz w:val="28"/>
          <w:szCs w:val="28"/>
        </w:rPr>
      </w:pPr>
      <w:r>
        <w:rPr>
          <w:rFonts w:ascii="宋体" w:hAnsi="宋体" w:hint="eastAsia"/>
          <w:sz w:val="28"/>
          <w:szCs w:val="28"/>
        </w:rPr>
        <w:t>本次</w:t>
      </w:r>
      <w:r>
        <w:rPr>
          <w:rFonts w:ascii="宋体" w:hAnsi="宋体" w:hint="eastAsia"/>
          <w:sz w:val="28"/>
          <w:szCs w:val="28"/>
        </w:rPr>
        <w:t>施工范围</w:t>
      </w:r>
      <w:r>
        <w:rPr>
          <w:rFonts w:ascii="宋体" w:hAnsi="宋体" w:hint="eastAsia"/>
          <w:sz w:val="28"/>
          <w:szCs w:val="28"/>
        </w:rPr>
        <w:t>含家具购置费用</w:t>
      </w:r>
      <w:r>
        <w:rPr>
          <w:rFonts w:ascii="宋体" w:hAnsi="宋体" w:hint="eastAsia"/>
          <w:sz w:val="28"/>
          <w:szCs w:val="28"/>
        </w:rPr>
        <w:t>；</w:t>
      </w:r>
    </w:p>
    <w:p w14:paraId="07E352AE" w14:textId="77777777" w:rsidR="009A5FB0" w:rsidRDefault="00BF1721">
      <w:pPr>
        <w:numPr>
          <w:ilvl w:val="0"/>
          <w:numId w:val="3"/>
        </w:numPr>
        <w:snapToGrid w:val="0"/>
        <w:spacing w:line="336" w:lineRule="auto"/>
        <w:rPr>
          <w:rFonts w:ascii="宋体" w:hAnsi="宋体"/>
          <w:sz w:val="28"/>
          <w:szCs w:val="28"/>
        </w:rPr>
      </w:pPr>
      <w:r>
        <w:rPr>
          <w:rFonts w:ascii="宋体" w:hAnsi="宋体" w:hint="eastAsia"/>
          <w:sz w:val="28"/>
          <w:szCs w:val="28"/>
        </w:rPr>
        <w:t>本次</w:t>
      </w:r>
      <w:r>
        <w:rPr>
          <w:rFonts w:ascii="宋体" w:hAnsi="宋体" w:hint="eastAsia"/>
          <w:sz w:val="28"/>
          <w:szCs w:val="28"/>
        </w:rPr>
        <w:t>施工范围</w:t>
      </w:r>
      <w:r>
        <w:rPr>
          <w:rFonts w:ascii="宋体" w:hAnsi="宋体" w:hint="eastAsia"/>
          <w:sz w:val="28"/>
          <w:szCs w:val="28"/>
        </w:rPr>
        <w:t>含</w:t>
      </w:r>
      <w:r>
        <w:rPr>
          <w:rFonts w:ascii="宋体" w:hAnsi="宋体" w:hint="eastAsia"/>
          <w:sz w:val="28"/>
          <w:szCs w:val="28"/>
        </w:rPr>
        <w:t>待建宿舍周边的人行道上架设安全通道，搭设范围及高度投标人须根据现场实际情况综合考虑到报价中，最终须满足中南大学各职能部门的相关要求；</w:t>
      </w:r>
    </w:p>
    <w:p w14:paraId="36E78A3E"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t>招标文件中的图纸所包括的所有工作（含必需的准备、保证、实施、扫尾，包括全部的机械、设备、人员的退场，建筑垃圾的清理外运、修缮、缺陷责任、辅助性质的工作、服务和设备，以及全部的机械、设备、人员的进场费用），无论这些工作是图纸明示的还是能够被合理推断出来的，都不能被视为工程的增加、遗漏、忽略和替代；本工程量清单为招标文件的组成部分，一经中标且签订合同，即成为合同的组成部分；不论后期采取何种施工措施，施工措施费用均按投标报价总价包干；</w:t>
      </w:r>
      <w:r>
        <w:rPr>
          <w:rFonts w:ascii="宋体" w:hAnsi="宋体" w:cs="宋体" w:hint="eastAsia"/>
          <w:sz w:val="28"/>
          <w:szCs w:val="28"/>
        </w:rPr>
        <w:t xml:space="preserve"> </w:t>
      </w:r>
    </w:p>
    <w:p w14:paraId="6BAF4CBB"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t>除甲方要求增加新的功能外，甲方对乙方设计不完善提出的变更，不作为费用补偿的依</w:t>
      </w:r>
      <w:r>
        <w:rPr>
          <w:rFonts w:ascii="宋体" w:hAnsi="宋体" w:cs="宋体" w:hint="eastAsia"/>
          <w:sz w:val="28"/>
          <w:szCs w:val="28"/>
        </w:rPr>
        <w:t>据</w:t>
      </w:r>
      <w:r>
        <w:rPr>
          <w:rFonts w:ascii="宋体" w:hAnsi="宋体" w:cs="宋体" w:hint="eastAsia"/>
          <w:sz w:val="28"/>
          <w:szCs w:val="28"/>
        </w:rPr>
        <w:t>；</w:t>
      </w:r>
    </w:p>
    <w:p w14:paraId="3F1F8477"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t>投标人须考虑因现场土质或降雨地下水等情况引起的土质承载力不足而采取的铺砖渣、钢板、路基箱板等一系列增加地基承载力以便于施工机械作业的措施所增加的成本费用，结算时措施费用及降效费用一律不再另行增加</w:t>
      </w:r>
      <w:r>
        <w:rPr>
          <w:rFonts w:ascii="宋体" w:hAnsi="宋体" w:cs="宋体" w:hint="eastAsia"/>
          <w:sz w:val="28"/>
          <w:szCs w:val="28"/>
        </w:rPr>
        <w:t>；</w:t>
      </w:r>
    </w:p>
    <w:p w14:paraId="37299DAD"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t>本工程考虑了</w:t>
      </w:r>
      <w:r>
        <w:rPr>
          <w:rFonts w:ascii="宋体" w:hAnsi="宋体" w:cs="宋体" w:hint="eastAsia"/>
          <w:sz w:val="28"/>
          <w:szCs w:val="28"/>
        </w:rPr>
        <w:t>工艺</w:t>
      </w:r>
      <w:r>
        <w:rPr>
          <w:rFonts w:ascii="宋体" w:hAnsi="宋体" w:cs="宋体" w:hint="eastAsia"/>
          <w:sz w:val="28"/>
          <w:szCs w:val="28"/>
        </w:rPr>
        <w:t>深化设计费用，由投标方报价进入总价结算，含通过审查必须产生的所有相关一切费用，结算不予调整；</w:t>
      </w:r>
    </w:p>
    <w:p w14:paraId="5292C486"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t>本工程考虑了绿色建筑设计、审图及相关施工费用</w:t>
      </w:r>
      <w:r>
        <w:rPr>
          <w:rFonts w:ascii="宋体" w:hAnsi="宋体" w:cs="宋体" w:hint="eastAsia"/>
          <w:sz w:val="28"/>
          <w:szCs w:val="28"/>
        </w:rPr>
        <w:t>，</w:t>
      </w:r>
      <w:r>
        <w:rPr>
          <w:rFonts w:ascii="宋体" w:hAnsi="宋体" w:cs="宋体" w:hint="eastAsia"/>
          <w:sz w:val="28"/>
          <w:szCs w:val="28"/>
        </w:rPr>
        <w:t>绿色建筑设计为在现有设计图上进行深化设计并进行实际施工，最终需满足通过绿建</w:t>
      </w:r>
      <w:r>
        <w:rPr>
          <w:rFonts w:ascii="宋体" w:hAnsi="宋体" w:cs="宋体" w:hint="eastAsia"/>
          <w:sz w:val="28"/>
          <w:szCs w:val="28"/>
        </w:rPr>
        <w:t>（</w:t>
      </w:r>
      <w:r>
        <w:rPr>
          <w:rFonts w:ascii="宋体" w:hAnsi="宋体" w:cs="宋体" w:hint="eastAsia"/>
          <w:sz w:val="28"/>
          <w:szCs w:val="28"/>
        </w:rPr>
        <w:t>二星</w:t>
      </w:r>
      <w:r>
        <w:rPr>
          <w:rFonts w:ascii="宋体" w:hAnsi="宋体" w:cs="宋体" w:hint="eastAsia"/>
          <w:sz w:val="28"/>
          <w:szCs w:val="28"/>
        </w:rPr>
        <w:t>）</w:t>
      </w:r>
      <w:r>
        <w:rPr>
          <w:rFonts w:ascii="宋体" w:hAnsi="宋体" w:cs="宋体" w:hint="eastAsia"/>
          <w:sz w:val="28"/>
          <w:szCs w:val="28"/>
        </w:rPr>
        <w:t>审查或其他相关要求</w:t>
      </w:r>
      <w:r>
        <w:rPr>
          <w:rFonts w:ascii="宋体" w:hAnsi="宋体" w:cs="宋体" w:hint="eastAsia"/>
          <w:sz w:val="28"/>
          <w:szCs w:val="28"/>
        </w:rPr>
        <w:t>；</w:t>
      </w:r>
      <w:r>
        <w:rPr>
          <w:rFonts w:ascii="宋体" w:hAnsi="宋体" w:cs="宋体" w:hint="eastAsia"/>
          <w:sz w:val="28"/>
          <w:szCs w:val="28"/>
        </w:rPr>
        <w:t>因绿建设计产生的设计变更或签证等的施工费用，由投标</w:t>
      </w:r>
      <w:r>
        <w:rPr>
          <w:rFonts w:ascii="宋体" w:hAnsi="宋体" w:cs="宋体" w:hint="eastAsia"/>
          <w:sz w:val="28"/>
          <w:szCs w:val="28"/>
        </w:rPr>
        <w:t>方结合现有资料进行报价，结算不予调整；</w:t>
      </w:r>
    </w:p>
    <w:p w14:paraId="638A17E1"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lastRenderedPageBreak/>
        <w:t>本工程考虑了办理各种政府审批手续费（不含建设单位向政府缴纳的各种规费），投标方报价包干进入总价结算。自中标结果公示结束后次日开始，中标人负责办理所有报批、报建、竣工验收、各种档案备案、办理房产证</w:t>
      </w:r>
      <w:r>
        <w:rPr>
          <w:rFonts w:ascii="宋体" w:hAnsi="宋体" w:cs="宋体" w:hint="eastAsia"/>
          <w:sz w:val="28"/>
          <w:szCs w:val="28"/>
        </w:rPr>
        <w:t>（</w:t>
      </w:r>
      <w:r>
        <w:rPr>
          <w:rFonts w:ascii="宋体" w:hAnsi="宋体" w:cs="宋体" w:hint="eastAsia"/>
          <w:sz w:val="28"/>
          <w:szCs w:val="28"/>
        </w:rPr>
        <w:t>不动产权证</w:t>
      </w:r>
      <w:r>
        <w:rPr>
          <w:rFonts w:ascii="宋体" w:hAnsi="宋体" w:cs="宋体" w:hint="eastAsia"/>
          <w:sz w:val="28"/>
          <w:szCs w:val="28"/>
        </w:rPr>
        <w:t>）</w:t>
      </w:r>
      <w:r>
        <w:rPr>
          <w:rFonts w:ascii="宋体" w:hAnsi="宋体" w:cs="宋体" w:hint="eastAsia"/>
          <w:sz w:val="28"/>
          <w:szCs w:val="28"/>
        </w:rPr>
        <w:t>等各类</w:t>
      </w:r>
      <w:r>
        <w:rPr>
          <w:rFonts w:ascii="宋体" w:hAnsi="宋体" w:cs="宋体" w:hint="eastAsia"/>
          <w:sz w:val="28"/>
          <w:szCs w:val="28"/>
        </w:rPr>
        <w:t>手续直至办理房产证</w:t>
      </w:r>
      <w:r>
        <w:rPr>
          <w:rFonts w:ascii="宋体" w:hAnsi="宋体" w:cs="宋体" w:hint="eastAsia"/>
          <w:sz w:val="28"/>
          <w:szCs w:val="28"/>
        </w:rPr>
        <w:t>（</w:t>
      </w:r>
      <w:r>
        <w:rPr>
          <w:rFonts w:ascii="宋体" w:hAnsi="宋体" w:cs="宋体" w:hint="eastAsia"/>
          <w:sz w:val="28"/>
          <w:szCs w:val="28"/>
        </w:rPr>
        <w:t>不动产权证</w:t>
      </w:r>
      <w:r>
        <w:rPr>
          <w:rFonts w:ascii="宋体" w:hAnsi="宋体" w:cs="宋体" w:hint="eastAsia"/>
          <w:sz w:val="28"/>
          <w:szCs w:val="28"/>
        </w:rPr>
        <w:t>）</w:t>
      </w:r>
      <w:r>
        <w:rPr>
          <w:rFonts w:ascii="宋体" w:hAnsi="宋体" w:cs="宋体" w:hint="eastAsia"/>
          <w:sz w:val="28"/>
          <w:szCs w:val="28"/>
        </w:rPr>
        <w:t>交付建设单位，有关成本应包含在投标报价中（政府部门向建设单位开具收据或发票的政府性收费，由建设方支付费用），结算不予调整；</w:t>
      </w:r>
    </w:p>
    <w:p w14:paraId="43C2EC5A"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t>本工程考虑了检测</w:t>
      </w:r>
      <w:r>
        <w:rPr>
          <w:rFonts w:ascii="宋体" w:hAnsi="宋体" w:cs="宋体" w:hint="eastAsia"/>
          <w:sz w:val="28"/>
          <w:szCs w:val="28"/>
        </w:rPr>
        <w:t>费</w:t>
      </w:r>
      <w:r>
        <w:rPr>
          <w:rFonts w:ascii="宋体" w:hAnsi="宋体" w:cs="宋体" w:hint="eastAsia"/>
          <w:sz w:val="28"/>
          <w:szCs w:val="28"/>
        </w:rPr>
        <w:t>、监测费、试验费（包括但不限于桩基超前钻、地基承载力</w:t>
      </w:r>
      <w:r>
        <w:rPr>
          <w:rFonts w:ascii="宋体" w:hAnsi="宋体" w:cs="宋体" w:hint="eastAsia"/>
          <w:sz w:val="28"/>
          <w:szCs w:val="28"/>
        </w:rPr>
        <w:t>、</w:t>
      </w:r>
      <w:r>
        <w:rPr>
          <w:rFonts w:ascii="宋体" w:hAnsi="宋体" w:cs="宋体" w:hint="eastAsia"/>
          <w:sz w:val="28"/>
          <w:szCs w:val="28"/>
        </w:rPr>
        <w:t>基坑监测</w:t>
      </w:r>
      <w:r>
        <w:rPr>
          <w:rFonts w:ascii="宋体" w:hAnsi="宋体" w:cs="宋体" w:hint="eastAsia"/>
          <w:sz w:val="28"/>
          <w:szCs w:val="28"/>
        </w:rPr>
        <w:t>、对</w:t>
      </w:r>
      <w:r>
        <w:rPr>
          <w:rFonts w:ascii="宋体" w:hAnsi="宋体" w:cs="宋体" w:hint="eastAsia"/>
          <w:sz w:val="28"/>
          <w:szCs w:val="28"/>
        </w:rPr>
        <w:t>10%</w:t>
      </w:r>
      <w:r>
        <w:rPr>
          <w:rFonts w:ascii="宋体" w:hAnsi="宋体" w:cs="宋体" w:hint="eastAsia"/>
          <w:sz w:val="28"/>
          <w:szCs w:val="28"/>
        </w:rPr>
        <w:t>的房间进行甲</w:t>
      </w:r>
      <w:r>
        <w:rPr>
          <w:rFonts w:ascii="宋体" w:hAnsi="宋体" w:cs="宋体" w:hint="eastAsia"/>
          <w:sz w:val="28"/>
          <w:szCs w:val="28"/>
        </w:rPr>
        <w:t>醛及</w:t>
      </w:r>
      <w:r>
        <w:rPr>
          <w:rFonts w:ascii="宋体" w:hAnsi="宋体" w:cs="宋体" w:hint="eastAsia"/>
          <w:sz w:val="28"/>
          <w:szCs w:val="28"/>
        </w:rPr>
        <w:t>TVOC</w:t>
      </w:r>
      <w:r>
        <w:rPr>
          <w:rFonts w:ascii="宋体" w:hAnsi="宋体" w:cs="宋体" w:hint="eastAsia"/>
          <w:sz w:val="28"/>
          <w:szCs w:val="28"/>
        </w:rPr>
        <w:t>检测</w:t>
      </w:r>
      <w:r>
        <w:rPr>
          <w:rFonts w:ascii="宋体" w:hAnsi="宋体" w:cs="宋体" w:hint="eastAsia"/>
          <w:sz w:val="28"/>
          <w:szCs w:val="28"/>
        </w:rPr>
        <w:t>等所有投标基准日（开标前</w:t>
      </w:r>
      <w:r>
        <w:rPr>
          <w:rFonts w:ascii="宋体" w:hAnsi="宋体" w:cs="宋体" w:hint="eastAsia"/>
          <w:sz w:val="28"/>
          <w:szCs w:val="28"/>
        </w:rPr>
        <w:t>28</w:t>
      </w:r>
      <w:r>
        <w:rPr>
          <w:rFonts w:ascii="宋体" w:hAnsi="宋体" w:cs="宋体" w:hint="eastAsia"/>
          <w:sz w:val="28"/>
          <w:szCs w:val="28"/>
        </w:rPr>
        <w:t>天）已生效或已颁布即将生效的法律、法规、规范、标准、政策性文件的规定的必须由施工单位或建设单位承担的相关监测、监测、试验费）</w:t>
      </w:r>
      <w:r>
        <w:rPr>
          <w:rFonts w:ascii="宋体" w:hAnsi="宋体" w:cs="宋体" w:hint="eastAsia"/>
          <w:sz w:val="28"/>
          <w:szCs w:val="28"/>
        </w:rPr>
        <w:t>，</w:t>
      </w:r>
      <w:r>
        <w:rPr>
          <w:rFonts w:ascii="宋体" w:hAnsi="宋体" w:cs="宋体" w:hint="eastAsia"/>
          <w:sz w:val="28"/>
          <w:szCs w:val="28"/>
        </w:rPr>
        <w:t>由</w:t>
      </w:r>
      <w:r>
        <w:rPr>
          <w:rFonts w:ascii="宋体" w:hAnsi="宋体" w:cs="宋体" w:hint="eastAsia"/>
          <w:sz w:val="28"/>
          <w:szCs w:val="28"/>
        </w:rPr>
        <w:t>投标方报价包干进入总价结算，结算不予调整；</w:t>
      </w:r>
    </w:p>
    <w:p w14:paraId="27F21BD4"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t>本项目的</w:t>
      </w:r>
      <w:r>
        <w:rPr>
          <w:rFonts w:ascii="宋体" w:hAnsi="宋体" w:cs="宋体" w:hint="eastAsia"/>
          <w:sz w:val="28"/>
          <w:szCs w:val="28"/>
        </w:rPr>
        <w:t>工艺</w:t>
      </w:r>
      <w:r>
        <w:rPr>
          <w:rFonts w:ascii="宋体" w:hAnsi="宋体" w:cs="宋体" w:hint="eastAsia"/>
          <w:sz w:val="28"/>
          <w:szCs w:val="28"/>
        </w:rPr>
        <w:t>深化设计费、检测费、监测费、试验费、绿建相关费用、行政审批费等费用均按项计取，无论</w:t>
      </w:r>
      <w:r>
        <w:rPr>
          <w:rFonts w:ascii="宋体" w:hAnsi="宋体" w:cs="宋体" w:hint="eastAsia"/>
          <w:sz w:val="28"/>
          <w:szCs w:val="28"/>
        </w:rPr>
        <w:t>建筑</w:t>
      </w:r>
      <w:r>
        <w:rPr>
          <w:rFonts w:ascii="宋体" w:hAnsi="宋体" w:cs="宋体" w:hint="eastAsia"/>
          <w:sz w:val="28"/>
          <w:szCs w:val="28"/>
        </w:rPr>
        <w:t>面积是否增加，</w:t>
      </w:r>
      <w:r>
        <w:rPr>
          <w:rFonts w:ascii="宋体" w:hAnsi="宋体" w:cs="宋体" w:hint="eastAsia"/>
          <w:sz w:val="28"/>
          <w:szCs w:val="28"/>
        </w:rPr>
        <w:t>均不</w:t>
      </w:r>
      <w:r>
        <w:rPr>
          <w:rFonts w:ascii="宋体" w:hAnsi="宋体" w:cs="宋体" w:hint="eastAsia"/>
          <w:sz w:val="28"/>
          <w:szCs w:val="28"/>
        </w:rPr>
        <w:t>调整</w:t>
      </w:r>
      <w:r>
        <w:rPr>
          <w:rFonts w:ascii="宋体" w:hAnsi="宋体" w:cs="宋体" w:hint="eastAsia"/>
          <w:sz w:val="28"/>
          <w:szCs w:val="28"/>
        </w:rPr>
        <w:t>，包干使用，结算不予调整</w:t>
      </w:r>
      <w:r>
        <w:rPr>
          <w:rFonts w:ascii="宋体" w:hAnsi="宋体" w:cs="宋体" w:hint="eastAsia"/>
          <w:sz w:val="28"/>
          <w:szCs w:val="28"/>
        </w:rPr>
        <w:t>；</w:t>
      </w:r>
    </w:p>
    <w:p w14:paraId="0E225369"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t>本项目初步设计图纸</w:t>
      </w:r>
      <w:r>
        <w:rPr>
          <w:rFonts w:ascii="宋体" w:hAnsi="宋体" w:cs="宋体" w:hint="eastAsia"/>
          <w:sz w:val="28"/>
          <w:szCs w:val="28"/>
        </w:rPr>
        <w:t>及清单中出现类似“由专业厂家二次深化”、“由专业厂家配套安装”等相关类似表述，均由投标人完成深化、优化、配套，完成设计、采购、施工并通过验收（备案），所有成本、费用、利润、税金包含在投标报价中</w:t>
      </w:r>
      <w:r>
        <w:rPr>
          <w:rFonts w:ascii="宋体" w:hAnsi="宋体" w:cs="宋体" w:hint="eastAsia"/>
          <w:sz w:val="28"/>
          <w:szCs w:val="28"/>
        </w:rPr>
        <w:t>；</w:t>
      </w:r>
    </w:p>
    <w:p w14:paraId="55E689E2"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t>投标人有义务在投标时对设计图纸进行复核，当设计图纸违反投标基准日已生效或已颁布即将生效规范或强规，应明确指出并提出纠正措施；若投标人未在投标时指出，则视为投标人已根据投标基准日已生效或已颁布即将生效的法律、法规、规范、标准、政策性文件采取了处理措施，并将成本分摊到报价中，其价格今后不再予以调整；</w:t>
      </w:r>
      <w:r>
        <w:rPr>
          <w:rFonts w:ascii="宋体" w:hAnsi="宋体" w:cs="宋体" w:hint="eastAsia"/>
          <w:sz w:val="28"/>
          <w:szCs w:val="28"/>
        </w:rPr>
        <w:t xml:space="preserve"> </w:t>
      </w:r>
    </w:p>
    <w:p w14:paraId="0844796C"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t>办理出入施工场地</w:t>
      </w:r>
      <w:r>
        <w:rPr>
          <w:rFonts w:ascii="宋体" w:hAnsi="宋体" w:cs="宋体" w:hint="eastAsia"/>
          <w:sz w:val="28"/>
          <w:szCs w:val="28"/>
        </w:rPr>
        <w:t>专用和临时道路的通行权、修建权的有关</w:t>
      </w:r>
      <w:r>
        <w:rPr>
          <w:rFonts w:ascii="宋体" w:hAnsi="宋体" w:cs="宋体" w:hint="eastAsia"/>
          <w:sz w:val="28"/>
          <w:szCs w:val="28"/>
        </w:rPr>
        <w:lastRenderedPageBreak/>
        <w:t>费用由承包人负责。场内施工道路（含硬化地面）修建、维修、养护、管理、破除并外运由承包人负责，其费用包括在合同价款内。发包人和监理人有权免费使用承包人修建的临时道路和交通设施，承包人应提供便利；</w:t>
      </w:r>
    </w:p>
    <w:p w14:paraId="45F2E14D"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t>投标单位应按招标单位提供的工程量清单逐项填写综合单价和合价，工程量清单中的每一单项均需计算填写综合单价和合价，投标文件中的大写金额与小写金额不一致的，以大写金额为准，总价（或合价）金额与单价（或综合单价）金额不一致的，以单价（或综合单价）金额为准</w:t>
      </w:r>
      <w:r>
        <w:rPr>
          <w:rFonts w:ascii="宋体" w:hAnsi="宋体" w:cs="宋体" w:hint="eastAsia"/>
          <w:sz w:val="28"/>
          <w:szCs w:val="28"/>
        </w:rPr>
        <w:t>；</w:t>
      </w:r>
    </w:p>
    <w:p w14:paraId="11BA223D"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t>工程量清单表中的任何内容不得随意</w:t>
      </w:r>
      <w:r>
        <w:rPr>
          <w:rFonts w:ascii="宋体" w:hAnsi="宋体" w:cs="宋体" w:hint="eastAsia"/>
          <w:sz w:val="28"/>
          <w:szCs w:val="28"/>
        </w:rPr>
        <w:t>删除或涂改，投标人应结合工程量清单及</w:t>
      </w:r>
      <w:r>
        <w:rPr>
          <w:rFonts w:ascii="宋体" w:hAnsi="宋体" w:cs="宋体" w:hint="eastAsia"/>
          <w:sz w:val="28"/>
          <w:szCs w:val="28"/>
        </w:rPr>
        <w:t>相关</w:t>
      </w:r>
      <w:r>
        <w:rPr>
          <w:rFonts w:ascii="宋体" w:hAnsi="宋体" w:cs="宋体" w:hint="eastAsia"/>
          <w:sz w:val="28"/>
          <w:szCs w:val="28"/>
        </w:rPr>
        <w:t>图纸报价，投标报价按招标文件规定及深化设计图纸总价包干，其总价应涵盖所有招标文件规定及深化设计图纸规定的全部工作内容的所有费用；</w:t>
      </w:r>
    </w:p>
    <w:p w14:paraId="2CC03AC7"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t>甲方经公证处公证的样品，投标人在投标阶段可派遣代表进行样品查阅，在投标报价时充分调查市场价格并报价，中标后，不得改变这些样品的单价；如投标人放弃查阅样品的权力和机会，导致的后果由投标人承担；</w:t>
      </w:r>
    </w:p>
    <w:p w14:paraId="659BBC1B"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t>投标人应遵守国家颁发的《建设工程工程量计价规范》（</w:t>
      </w:r>
      <w:r>
        <w:rPr>
          <w:rFonts w:ascii="宋体" w:hAnsi="宋体" w:cs="宋体" w:hint="eastAsia"/>
          <w:sz w:val="28"/>
          <w:szCs w:val="28"/>
        </w:rPr>
        <w:t>GB50500-2013</w:t>
      </w:r>
      <w:r>
        <w:rPr>
          <w:rFonts w:ascii="宋体" w:hAnsi="宋体" w:cs="宋体" w:hint="eastAsia"/>
          <w:sz w:val="28"/>
          <w:szCs w:val="28"/>
        </w:rPr>
        <w:t>）、湘建价</w:t>
      </w:r>
      <w:r>
        <w:rPr>
          <w:rFonts w:ascii="宋体" w:hAnsi="宋体" w:cs="宋体" w:hint="eastAsia"/>
          <w:sz w:val="28"/>
          <w:szCs w:val="28"/>
        </w:rPr>
        <w:t>[</w:t>
      </w:r>
      <w:r>
        <w:rPr>
          <w:rFonts w:ascii="宋体" w:hAnsi="宋体" w:cs="宋体" w:hint="eastAsia"/>
          <w:sz w:val="28"/>
          <w:szCs w:val="28"/>
        </w:rPr>
        <w:t>2020</w:t>
      </w:r>
      <w:r>
        <w:rPr>
          <w:rFonts w:ascii="宋体" w:hAnsi="宋体" w:cs="宋体" w:hint="eastAsia"/>
          <w:sz w:val="28"/>
          <w:szCs w:val="28"/>
        </w:rPr>
        <w:t>]</w:t>
      </w:r>
      <w:r>
        <w:rPr>
          <w:rFonts w:ascii="宋体" w:hAnsi="宋体" w:cs="宋体" w:hint="eastAsia"/>
          <w:sz w:val="28"/>
          <w:szCs w:val="28"/>
        </w:rPr>
        <w:t>56</w:t>
      </w:r>
      <w:r>
        <w:rPr>
          <w:rFonts w:ascii="宋体" w:hAnsi="宋体" w:cs="宋体" w:hint="eastAsia"/>
          <w:sz w:val="28"/>
          <w:szCs w:val="28"/>
        </w:rPr>
        <w:t>号关于</w:t>
      </w:r>
      <w:r>
        <w:rPr>
          <w:rFonts w:ascii="宋体" w:hAnsi="宋体" w:cs="宋体" w:hint="eastAsia"/>
          <w:sz w:val="28"/>
          <w:szCs w:val="28"/>
        </w:rPr>
        <w:t>印发</w:t>
      </w:r>
      <w:r>
        <w:rPr>
          <w:rFonts w:ascii="宋体" w:hAnsi="宋体" w:cs="宋体" w:hint="eastAsia"/>
          <w:sz w:val="28"/>
          <w:szCs w:val="28"/>
        </w:rPr>
        <w:t>2020</w:t>
      </w:r>
      <w:r>
        <w:rPr>
          <w:rFonts w:ascii="宋体" w:hAnsi="宋体" w:cs="宋体" w:hint="eastAsia"/>
          <w:sz w:val="28"/>
          <w:szCs w:val="28"/>
        </w:rPr>
        <w:t>《湖南省建设工程计价办法》及《湖</w:t>
      </w:r>
      <w:r>
        <w:rPr>
          <w:rFonts w:ascii="宋体" w:hAnsi="宋体" w:cs="宋体" w:hint="eastAsia"/>
          <w:sz w:val="28"/>
          <w:szCs w:val="28"/>
        </w:rPr>
        <w:t>南省建设工程消耗量标准》的通知等有关文件规定，结合施工现场情况、自行制定施工组织设计或施工方案，按照企业定额或按照省建设厅发布的现行消耗量标准，在保证质量、工期的前提下，根据工程实际情况报出自己的投标报价；</w:t>
      </w:r>
    </w:p>
    <w:p w14:paraId="228C5384"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t>以开标前</w:t>
      </w:r>
      <w:r>
        <w:rPr>
          <w:rFonts w:ascii="宋体" w:hAnsi="宋体" w:cs="宋体" w:hint="eastAsia"/>
          <w:sz w:val="28"/>
          <w:szCs w:val="28"/>
        </w:rPr>
        <w:t>28</w:t>
      </w:r>
      <w:r>
        <w:rPr>
          <w:rFonts w:ascii="宋体" w:hAnsi="宋体" w:cs="宋体" w:hint="eastAsia"/>
          <w:sz w:val="28"/>
          <w:szCs w:val="28"/>
        </w:rPr>
        <w:t>天定为基准日，基准日已生效或已颁布即将生效的法律、法规、规范、标准、政策性文件均需在投标报价中综合考虑，在结算时不予调整；</w:t>
      </w:r>
    </w:p>
    <w:p w14:paraId="7C6CC485"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t>本工程投标报价采用的币种为人民币；</w:t>
      </w:r>
    </w:p>
    <w:p w14:paraId="73BC0CC9"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lastRenderedPageBreak/>
        <w:t>本工程所有砂浆一律采用预拌砂浆，其运输费包含在投标报价中</w:t>
      </w:r>
      <w:r>
        <w:rPr>
          <w:rFonts w:ascii="宋体" w:hAnsi="宋体" w:cs="宋体" w:hint="eastAsia"/>
          <w:sz w:val="28"/>
          <w:szCs w:val="28"/>
        </w:rPr>
        <w:t>；</w:t>
      </w:r>
    </w:p>
    <w:p w14:paraId="10437F92"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t>本工程所有</w:t>
      </w:r>
      <w:r>
        <w:rPr>
          <w:rFonts w:ascii="宋体" w:hAnsi="宋体" w:cs="宋体" w:hint="eastAsia"/>
          <w:sz w:val="28"/>
          <w:szCs w:val="28"/>
        </w:rPr>
        <w:t>钢筋均</w:t>
      </w:r>
      <w:r>
        <w:rPr>
          <w:rFonts w:ascii="宋体" w:hAnsi="宋体" w:cs="宋体" w:hint="eastAsia"/>
          <w:sz w:val="28"/>
          <w:szCs w:val="28"/>
        </w:rPr>
        <w:t>采用</w:t>
      </w:r>
      <w:r>
        <w:rPr>
          <w:rFonts w:ascii="宋体" w:hAnsi="宋体" w:cs="宋体" w:hint="eastAsia"/>
          <w:sz w:val="28"/>
          <w:szCs w:val="28"/>
        </w:rPr>
        <w:t>抗震钢筋</w:t>
      </w:r>
      <w:r>
        <w:rPr>
          <w:rFonts w:ascii="宋体" w:hAnsi="宋体" w:cs="宋体" w:hint="eastAsia"/>
          <w:sz w:val="28"/>
          <w:szCs w:val="28"/>
        </w:rPr>
        <w:t>，其运输费</w:t>
      </w:r>
      <w:r>
        <w:rPr>
          <w:rFonts w:ascii="宋体" w:hAnsi="宋体" w:cs="宋体" w:hint="eastAsia"/>
          <w:sz w:val="28"/>
          <w:szCs w:val="28"/>
        </w:rPr>
        <w:t>、</w:t>
      </w:r>
      <w:r>
        <w:rPr>
          <w:rFonts w:ascii="宋体" w:hAnsi="宋体" w:cs="宋体" w:hint="eastAsia"/>
          <w:sz w:val="28"/>
          <w:szCs w:val="28"/>
        </w:rPr>
        <w:t>加工费等均</w:t>
      </w:r>
      <w:r>
        <w:rPr>
          <w:rFonts w:ascii="宋体" w:hAnsi="宋体" w:cs="宋体" w:hint="eastAsia"/>
          <w:sz w:val="28"/>
          <w:szCs w:val="28"/>
        </w:rPr>
        <w:t>包含在投标报价中</w:t>
      </w:r>
      <w:r>
        <w:rPr>
          <w:rFonts w:ascii="宋体" w:hAnsi="宋体" w:cs="宋体" w:hint="eastAsia"/>
          <w:sz w:val="28"/>
          <w:szCs w:val="28"/>
        </w:rPr>
        <w:t>；</w:t>
      </w:r>
    </w:p>
    <w:p w14:paraId="0881C3F5"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t>本工程砼采用商品砼，混凝土的泵送与否及运输距离，由投标人自行考虑，泵送费及运输费包含在投标报价中</w:t>
      </w:r>
      <w:r>
        <w:rPr>
          <w:rFonts w:ascii="宋体" w:hAnsi="宋体" w:cs="宋体" w:hint="eastAsia"/>
          <w:sz w:val="28"/>
          <w:szCs w:val="28"/>
        </w:rPr>
        <w:t>；</w:t>
      </w:r>
    </w:p>
    <w:p w14:paraId="75473F27"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t>对于主要材料，投标人均需按《主要材料、设备品牌表》、《公证书》进行市场询价，《主要材料、设备品牌表》及《公证书》所罗列的材料设备需经甲方认可方可使用、安装；</w:t>
      </w:r>
    </w:p>
    <w:p w14:paraId="494EC15D"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t>土方和建筑垃圾运距由投标方按现场实际情况及实际运距自主报价，结算单价不予调整；</w:t>
      </w:r>
    </w:p>
    <w:p w14:paraId="6D5CF2E9"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t>材料的二次搬运费，施工单位投标时应综合考虑在投标报价中，不再另行计列二次搬运费；</w:t>
      </w:r>
    </w:p>
    <w:p w14:paraId="21DFC497"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t>本工程为新建工程，</w:t>
      </w:r>
      <w:r>
        <w:rPr>
          <w:rFonts w:ascii="宋体" w:hAnsi="宋体" w:cs="宋体" w:hint="eastAsia"/>
          <w:sz w:val="28"/>
          <w:szCs w:val="28"/>
        </w:rPr>
        <w:t>参照相关文件</w:t>
      </w:r>
      <w:r>
        <w:rPr>
          <w:rFonts w:ascii="宋体" w:hAnsi="宋体" w:cs="宋体" w:hint="eastAsia"/>
          <w:sz w:val="28"/>
          <w:szCs w:val="28"/>
        </w:rPr>
        <w:t>，</w:t>
      </w:r>
      <w:r>
        <w:rPr>
          <w:rFonts w:ascii="宋体" w:hAnsi="宋体" w:cs="宋体" w:hint="eastAsia"/>
          <w:sz w:val="28"/>
          <w:szCs w:val="28"/>
        </w:rPr>
        <w:t>投标人须</w:t>
      </w:r>
      <w:r>
        <w:rPr>
          <w:rFonts w:ascii="宋体" w:hAnsi="宋体" w:cs="宋体" w:hint="eastAsia"/>
          <w:sz w:val="28"/>
          <w:szCs w:val="28"/>
        </w:rPr>
        <w:t>考虑</w:t>
      </w:r>
      <w:r>
        <w:rPr>
          <w:rFonts w:ascii="宋体" w:hAnsi="宋体" w:cs="宋体" w:hint="eastAsia"/>
          <w:sz w:val="28"/>
          <w:szCs w:val="28"/>
        </w:rPr>
        <w:t>原地块建筑垃圾、地块内原有建</w:t>
      </w:r>
      <w:r>
        <w:rPr>
          <w:rFonts w:ascii="宋体" w:hAnsi="宋体" w:cs="宋体" w:hint="eastAsia"/>
          <w:sz w:val="28"/>
          <w:szCs w:val="28"/>
        </w:rPr>
        <w:t>筑物的各类基础、新建工程产生的</w:t>
      </w:r>
      <w:r>
        <w:rPr>
          <w:rFonts w:ascii="宋体" w:hAnsi="宋体" w:cs="宋体" w:hint="eastAsia"/>
          <w:sz w:val="28"/>
          <w:szCs w:val="28"/>
        </w:rPr>
        <w:t>建筑、装饰等垃圾外运出中南大学</w:t>
      </w:r>
      <w:r>
        <w:rPr>
          <w:rFonts w:ascii="宋体" w:hAnsi="宋体" w:cs="宋体" w:hint="eastAsia"/>
          <w:sz w:val="28"/>
          <w:szCs w:val="28"/>
        </w:rPr>
        <w:t>所属地块</w:t>
      </w:r>
      <w:r>
        <w:rPr>
          <w:rFonts w:ascii="宋体" w:hAnsi="宋体" w:cs="宋体" w:hint="eastAsia"/>
          <w:sz w:val="28"/>
          <w:szCs w:val="28"/>
        </w:rPr>
        <w:t>；本投标清单</w:t>
      </w:r>
      <w:r>
        <w:rPr>
          <w:rFonts w:ascii="宋体" w:hAnsi="宋体" w:cs="宋体" w:hint="eastAsia"/>
          <w:sz w:val="28"/>
          <w:szCs w:val="28"/>
        </w:rPr>
        <w:t>中已考虑相关费用，以</w:t>
      </w:r>
      <w:r>
        <w:rPr>
          <w:rFonts w:ascii="宋体" w:hAnsi="宋体" w:cs="宋体" w:hint="eastAsia"/>
          <w:sz w:val="28"/>
          <w:szCs w:val="28"/>
        </w:rPr>
        <w:t>项</w:t>
      </w:r>
      <w:r>
        <w:rPr>
          <w:rFonts w:ascii="宋体" w:hAnsi="宋体" w:cs="宋体" w:hint="eastAsia"/>
          <w:sz w:val="28"/>
          <w:szCs w:val="28"/>
        </w:rPr>
        <w:t>计</w:t>
      </w:r>
      <w:r>
        <w:rPr>
          <w:rFonts w:ascii="宋体" w:hAnsi="宋体" w:cs="宋体" w:hint="eastAsia"/>
          <w:sz w:val="28"/>
          <w:szCs w:val="28"/>
        </w:rPr>
        <w:t>列入</w:t>
      </w:r>
      <w:r>
        <w:rPr>
          <w:rFonts w:ascii="宋体" w:hAnsi="宋体" w:cs="宋体" w:hint="eastAsia"/>
          <w:sz w:val="28"/>
          <w:szCs w:val="28"/>
        </w:rPr>
        <w:t>分部分项工程费</w:t>
      </w:r>
      <w:r>
        <w:rPr>
          <w:rFonts w:ascii="宋体" w:hAnsi="宋体" w:cs="宋体" w:hint="eastAsia"/>
          <w:sz w:val="28"/>
          <w:szCs w:val="28"/>
        </w:rPr>
        <w:t>中，投标单位自行考虑，包干使用；</w:t>
      </w:r>
    </w:p>
    <w:p w14:paraId="208596B8"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t>优化设计不得降低清单中规定的主材及设备品牌档次；</w:t>
      </w:r>
    </w:p>
    <w:p w14:paraId="3FF3DDB8"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t>投标单位在投标时进行的优化设计存在缺陷、错误，或者，不满足功能需求，不满足品质需求，与实际情况不符，造成的费用增加，由施工单位自行承担</w:t>
      </w:r>
      <w:r>
        <w:rPr>
          <w:rFonts w:ascii="宋体" w:hAnsi="宋体" w:cs="宋体" w:hint="eastAsia"/>
          <w:sz w:val="28"/>
          <w:szCs w:val="28"/>
        </w:rPr>
        <w:t>；</w:t>
      </w:r>
    </w:p>
    <w:p w14:paraId="098DC3A0"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t>对于</w:t>
      </w:r>
      <w:r>
        <w:rPr>
          <w:rFonts w:ascii="宋体" w:hAnsi="宋体" w:cs="宋体" w:hint="eastAsia"/>
          <w:sz w:val="28"/>
          <w:szCs w:val="28"/>
        </w:rPr>
        <w:t>家具、各类电器</w:t>
      </w:r>
      <w:r>
        <w:rPr>
          <w:rFonts w:ascii="宋体" w:hAnsi="宋体" w:cs="宋体" w:hint="eastAsia"/>
          <w:sz w:val="28"/>
          <w:szCs w:val="28"/>
        </w:rPr>
        <w:t>等</w:t>
      </w:r>
      <w:r>
        <w:rPr>
          <w:rFonts w:ascii="宋体" w:hAnsi="宋体" w:cs="宋体" w:hint="eastAsia"/>
          <w:sz w:val="28"/>
          <w:szCs w:val="28"/>
        </w:rPr>
        <w:t>特殊招标内容</w:t>
      </w:r>
      <w:r>
        <w:rPr>
          <w:rFonts w:ascii="宋体" w:hAnsi="宋体" w:cs="宋体" w:hint="eastAsia"/>
          <w:sz w:val="28"/>
          <w:szCs w:val="28"/>
        </w:rPr>
        <w:t>，投标人应按照招标文件的要求，充分考虑预留、预埋，避免</w:t>
      </w:r>
      <w:r>
        <w:rPr>
          <w:rFonts w:ascii="宋体" w:hAnsi="宋体" w:cs="宋体" w:hint="eastAsia"/>
          <w:sz w:val="28"/>
          <w:szCs w:val="28"/>
        </w:rPr>
        <w:t>工艺深化设计</w:t>
      </w:r>
      <w:r>
        <w:rPr>
          <w:rFonts w:ascii="宋体" w:hAnsi="宋体" w:cs="宋体" w:hint="eastAsia"/>
          <w:sz w:val="28"/>
          <w:szCs w:val="28"/>
        </w:rPr>
        <w:t>内容与</w:t>
      </w:r>
      <w:r>
        <w:rPr>
          <w:rFonts w:ascii="宋体" w:hAnsi="宋体" w:cs="宋体" w:hint="eastAsia"/>
          <w:sz w:val="28"/>
          <w:szCs w:val="28"/>
        </w:rPr>
        <w:t>家具、各类电器所布置的位置及开关插座的点位发生</w:t>
      </w:r>
      <w:r>
        <w:rPr>
          <w:rFonts w:ascii="宋体" w:hAnsi="宋体" w:cs="宋体" w:hint="eastAsia"/>
          <w:sz w:val="28"/>
          <w:szCs w:val="28"/>
        </w:rPr>
        <w:t>冲突与碰撞（或预留足够空间）。由于投标人的设计不完善造成此类错误，投标人应无条件修改、更正并承担相关全部费用</w:t>
      </w:r>
      <w:r>
        <w:rPr>
          <w:rFonts w:ascii="宋体" w:hAnsi="宋体" w:cs="宋体" w:hint="eastAsia"/>
          <w:sz w:val="28"/>
          <w:szCs w:val="28"/>
        </w:rPr>
        <w:t>；</w:t>
      </w:r>
    </w:p>
    <w:p w14:paraId="1E967432"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t>安防监控工程、门禁系统、一卡通系统等技术方案及设备选</w:t>
      </w:r>
      <w:r>
        <w:rPr>
          <w:rFonts w:ascii="宋体" w:hAnsi="宋体" w:cs="宋体" w:hint="eastAsia"/>
          <w:sz w:val="28"/>
          <w:szCs w:val="28"/>
        </w:rPr>
        <w:lastRenderedPageBreak/>
        <w:t>型需经过中南大学保卫处认可；综合布线、无线门锁及网络工程技术方案及设备选型需经过中南大学信网中心认可；水表、电表等设备选型需经过中南大学能源管理中心及相关电力部门认可；中标人提供的方案，只要能与既有系统兼容（以既有系统管理部门签章为认可标准）并接入开放协议，即应被视为合格。</w:t>
      </w:r>
    </w:p>
    <w:p w14:paraId="0CF455F1"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t>建设单位在招标文件（含招标</w:t>
      </w:r>
      <w:r>
        <w:rPr>
          <w:rFonts w:ascii="宋体" w:hAnsi="宋体" w:cs="宋体" w:hint="eastAsia"/>
          <w:sz w:val="28"/>
          <w:szCs w:val="28"/>
        </w:rPr>
        <w:t>文件、</w:t>
      </w:r>
      <w:r>
        <w:rPr>
          <w:rFonts w:ascii="宋体" w:hAnsi="宋体" w:cs="宋体" w:hint="eastAsia"/>
          <w:sz w:val="28"/>
          <w:szCs w:val="28"/>
        </w:rPr>
        <w:t>图纸</w:t>
      </w:r>
      <w:r>
        <w:rPr>
          <w:rFonts w:ascii="宋体" w:hAnsi="宋体" w:cs="宋体" w:hint="eastAsia"/>
          <w:sz w:val="28"/>
          <w:szCs w:val="28"/>
        </w:rPr>
        <w:t>、功能需求</w:t>
      </w:r>
      <w:r>
        <w:rPr>
          <w:rFonts w:ascii="宋体" w:hAnsi="宋体" w:cs="宋体" w:hint="eastAsia"/>
          <w:sz w:val="28"/>
          <w:szCs w:val="28"/>
        </w:rPr>
        <w:t>文件</w:t>
      </w:r>
      <w:r>
        <w:rPr>
          <w:rFonts w:ascii="宋体" w:hAnsi="宋体" w:cs="宋体" w:hint="eastAsia"/>
          <w:sz w:val="28"/>
          <w:szCs w:val="28"/>
        </w:rPr>
        <w:t>、工程量清单、</w:t>
      </w:r>
      <w:r>
        <w:rPr>
          <w:rFonts w:ascii="宋体" w:hAnsi="宋体" w:cs="宋体" w:hint="eastAsia"/>
          <w:sz w:val="28"/>
          <w:szCs w:val="28"/>
        </w:rPr>
        <w:t>各类样品及</w:t>
      </w:r>
      <w:r>
        <w:rPr>
          <w:rFonts w:ascii="宋体" w:hAnsi="宋体" w:cs="宋体" w:hint="eastAsia"/>
          <w:sz w:val="28"/>
          <w:szCs w:val="28"/>
        </w:rPr>
        <w:t>公证书、效果图等所有组成内容）中体现的功能需求、品质需求，必须得到满足。因为投标人的原因，导致任何不满足需求的情况，投标人（中标人）都有义务自担成本采取措施予以弥补直至需求得到满足</w:t>
      </w:r>
      <w:r>
        <w:rPr>
          <w:rFonts w:ascii="宋体" w:hAnsi="宋体" w:cs="宋体" w:hint="eastAsia"/>
          <w:sz w:val="28"/>
          <w:szCs w:val="28"/>
        </w:rPr>
        <w:t>；</w:t>
      </w:r>
    </w:p>
    <w:p w14:paraId="1491C5BC"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t>本项目室外弱电接入点，暂按南校区放光纤考虑，实施过程中不排除采用从校本部放光纤接入的方案；</w:t>
      </w:r>
    </w:p>
    <w:p w14:paraId="375B8634" w14:textId="77777777" w:rsidR="009A5FB0" w:rsidRDefault="00BF1721">
      <w:pPr>
        <w:numPr>
          <w:ilvl w:val="0"/>
          <w:numId w:val="3"/>
        </w:numPr>
        <w:snapToGrid w:val="0"/>
        <w:spacing w:line="336" w:lineRule="auto"/>
        <w:rPr>
          <w:rFonts w:ascii="宋体" w:hAnsi="宋体" w:cs="宋体"/>
          <w:sz w:val="28"/>
          <w:szCs w:val="28"/>
        </w:rPr>
      </w:pPr>
      <w:r>
        <w:rPr>
          <w:rFonts w:ascii="宋体" w:hAnsi="宋体" w:cs="宋体" w:hint="eastAsia"/>
          <w:sz w:val="28"/>
          <w:szCs w:val="28"/>
        </w:rPr>
        <w:t>本工程暂列金额（不可预见费）为</w:t>
      </w:r>
      <w:r>
        <w:rPr>
          <w:rFonts w:ascii="宋体" w:hAnsi="宋体" w:cs="宋体" w:hint="eastAsia"/>
          <w:sz w:val="28"/>
          <w:szCs w:val="28"/>
        </w:rPr>
        <w:t>1517085.99</w:t>
      </w:r>
      <w:r>
        <w:rPr>
          <w:rFonts w:ascii="宋体" w:hAnsi="宋体" w:cs="宋体" w:hint="eastAsia"/>
          <w:sz w:val="28"/>
          <w:szCs w:val="28"/>
        </w:rPr>
        <w:t>元</w:t>
      </w:r>
      <w:r>
        <w:rPr>
          <w:rFonts w:ascii="宋体" w:hAnsi="宋体" w:cs="宋体" w:hint="eastAsia"/>
          <w:sz w:val="28"/>
          <w:szCs w:val="28"/>
        </w:rPr>
        <w:t>（</w:t>
      </w:r>
      <w:r>
        <w:rPr>
          <w:rFonts w:ascii="宋体" w:hAnsi="宋体" w:cs="宋体" w:hint="eastAsia"/>
          <w:sz w:val="28"/>
          <w:szCs w:val="28"/>
        </w:rPr>
        <w:t>含税</w:t>
      </w:r>
      <w:r>
        <w:rPr>
          <w:rFonts w:ascii="宋体" w:hAnsi="宋体" w:cs="宋体" w:hint="eastAsia"/>
          <w:sz w:val="28"/>
          <w:szCs w:val="28"/>
        </w:rPr>
        <w:t>）</w:t>
      </w:r>
      <w:r>
        <w:rPr>
          <w:rFonts w:ascii="宋体" w:hAnsi="宋体" w:cs="宋体" w:hint="eastAsia"/>
          <w:sz w:val="28"/>
          <w:szCs w:val="28"/>
        </w:rPr>
        <w:t>，各投标单位统一按此价格进入投标报价</w:t>
      </w:r>
      <w:r>
        <w:rPr>
          <w:rFonts w:ascii="宋体" w:hAnsi="宋体" w:cs="宋体" w:hint="eastAsia"/>
          <w:sz w:val="28"/>
          <w:szCs w:val="28"/>
        </w:rPr>
        <w:t>。</w:t>
      </w:r>
    </w:p>
    <w:p w14:paraId="4D38489D" w14:textId="77777777" w:rsidR="009A5FB0" w:rsidRDefault="00BF1721">
      <w:pPr>
        <w:spacing w:line="360" w:lineRule="auto"/>
        <w:rPr>
          <w:rFonts w:ascii="宋体" w:hAnsi="宋体" w:cs="仿宋"/>
          <w:b/>
          <w:sz w:val="28"/>
          <w:szCs w:val="28"/>
        </w:rPr>
      </w:pPr>
      <w:r>
        <w:rPr>
          <w:rFonts w:ascii="宋体" w:hAnsi="宋体" w:cs="仿宋" w:hint="eastAsia"/>
          <w:b/>
          <w:sz w:val="28"/>
          <w:szCs w:val="28"/>
        </w:rPr>
        <w:t>五、材料品牌</w:t>
      </w:r>
    </w:p>
    <w:p w14:paraId="03469312" w14:textId="77777777" w:rsidR="009A5FB0" w:rsidRDefault="00BF1721">
      <w:pPr>
        <w:snapToGrid w:val="0"/>
        <w:spacing w:line="336" w:lineRule="auto"/>
        <w:ind w:firstLineChars="200" w:firstLine="560"/>
        <w:rPr>
          <w:rFonts w:ascii="宋体" w:hAnsi="宋体"/>
          <w:sz w:val="28"/>
          <w:szCs w:val="28"/>
        </w:rPr>
      </w:pPr>
      <w:r>
        <w:rPr>
          <w:rFonts w:ascii="宋体" w:hAnsi="宋体" w:hint="eastAsia"/>
          <w:sz w:val="28"/>
          <w:szCs w:val="28"/>
        </w:rPr>
        <w:t>下列品牌仅作为参考，能够满足本项目对功能、品质、兼容性的要求的同档次品牌即</w:t>
      </w:r>
      <w:r>
        <w:rPr>
          <w:rFonts w:ascii="宋体" w:hAnsi="宋体" w:hint="eastAsia"/>
          <w:sz w:val="28"/>
          <w:szCs w:val="28"/>
        </w:rPr>
        <w:t>可，发包人不对品牌型号做具体要求：</w:t>
      </w:r>
    </w:p>
    <w:tbl>
      <w:tblPr>
        <w:tblW w:w="0" w:type="auto"/>
        <w:jc w:val="center"/>
        <w:tblLook w:val="04A0" w:firstRow="1" w:lastRow="0" w:firstColumn="1" w:lastColumn="0" w:noHBand="0" w:noVBand="1"/>
      </w:tblPr>
      <w:tblGrid>
        <w:gridCol w:w="687"/>
        <w:gridCol w:w="2196"/>
        <w:gridCol w:w="3136"/>
        <w:gridCol w:w="2278"/>
      </w:tblGrid>
      <w:tr w:rsidR="009A5FB0" w14:paraId="4F31B417" w14:textId="77777777">
        <w:trPr>
          <w:trHeight w:val="482"/>
          <w:tblHeader/>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4584B975" w14:textId="77777777" w:rsidR="009A5FB0" w:rsidRDefault="00BF1721">
            <w:pPr>
              <w:widowControl/>
              <w:jc w:val="center"/>
              <w:rPr>
                <w:rFonts w:ascii="宋体" w:hAnsi="宋体"/>
                <w:b/>
                <w:bCs/>
                <w:szCs w:val="21"/>
              </w:rPr>
            </w:pPr>
            <w:r>
              <w:rPr>
                <w:rFonts w:ascii="宋体" w:hAnsi="宋体" w:hint="eastAsia"/>
                <w:b/>
                <w:bCs/>
                <w:szCs w:val="21"/>
              </w:rPr>
              <w:t>序号</w:t>
            </w:r>
          </w:p>
        </w:tc>
        <w:tc>
          <w:tcPr>
            <w:tcW w:w="2256" w:type="dxa"/>
            <w:tcBorders>
              <w:top w:val="single" w:sz="4" w:space="0" w:color="000000"/>
              <w:left w:val="nil"/>
              <w:bottom w:val="single" w:sz="4" w:space="0" w:color="000000"/>
              <w:right w:val="single" w:sz="4" w:space="0" w:color="000000"/>
            </w:tcBorders>
            <w:noWrap/>
            <w:vAlign w:val="center"/>
          </w:tcPr>
          <w:p w14:paraId="0FCBA5E2" w14:textId="77777777" w:rsidR="009A5FB0" w:rsidRDefault="00BF1721">
            <w:pPr>
              <w:widowControl/>
              <w:jc w:val="center"/>
              <w:rPr>
                <w:rFonts w:ascii="宋体" w:hAnsi="宋体"/>
                <w:b/>
                <w:bCs/>
                <w:szCs w:val="21"/>
              </w:rPr>
            </w:pPr>
            <w:r>
              <w:rPr>
                <w:rFonts w:ascii="宋体" w:hAnsi="宋体" w:hint="eastAsia"/>
                <w:b/>
                <w:bCs/>
                <w:szCs w:val="21"/>
              </w:rPr>
              <w:t>材料名称、规格</w:t>
            </w:r>
          </w:p>
        </w:tc>
        <w:tc>
          <w:tcPr>
            <w:tcW w:w="3225" w:type="dxa"/>
            <w:tcBorders>
              <w:top w:val="single" w:sz="4" w:space="0" w:color="000000"/>
              <w:left w:val="nil"/>
              <w:bottom w:val="single" w:sz="4" w:space="0" w:color="000000"/>
              <w:right w:val="single" w:sz="4" w:space="0" w:color="000000"/>
            </w:tcBorders>
            <w:noWrap/>
            <w:vAlign w:val="center"/>
          </w:tcPr>
          <w:p w14:paraId="12A79A8F" w14:textId="77777777" w:rsidR="009A5FB0" w:rsidRDefault="00BF1721">
            <w:pPr>
              <w:widowControl/>
              <w:jc w:val="center"/>
              <w:rPr>
                <w:rFonts w:ascii="宋体" w:hAnsi="宋体"/>
                <w:b/>
                <w:bCs/>
                <w:szCs w:val="21"/>
              </w:rPr>
            </w:pPr>
            <w:r>
              <w:rPr>
                <w:rFonts w:ascii="宋体" w:hAnsi="宋体" w:hint="eastAsia"/>
                <w:b/>
                <w:bCs/>
                <w:szCs w:val="21"/>
              </w:rPr>
              <w:t>品</w:t>
            </w:r>
            <w:r>
              <w:rPr>
                <w:rFonts w:ascii="宋体" w:hAnsi="宋体" w:hint="eastAsia"/>
                <w:b/>
                <w:bCs/>
                <w:szCs w:val="21"/>
              </w:rPr>
              <w:t xml:space="preserve"> </w:t>
            </w:r>
            <w:r>
              <w:rPr>
                <w:rFonts w:ascii="宋体" w:hAnsi="宋体" w:hint="eastAsia"/>
                <w:b/>
                <w:bCs/>
                <w:szCs w:val="21"/>
              </w:rPr>
              <w:t>牌</w:t>
            </w:r>
          </w:p>
        </w:tc>
        <w:tc>
          <w:tcPr>
            <w:tcW w:w="2341" w:type="dxa"/>
            <w:tcBorders>
              <w:top w:val="single" w:sz="4" w:space="0" w:color="000000"/>
              <w:left w:val="nil"/>
              <w:bottom w:val="single" w:sz="4" w:space="0" w:color="000000"/>
              <w:right w:val="single" w:sz="4" w:space="0" w:color="000000"/>
            </w:tcBorders>
            <w:noWrap/>
            <w:vAlign w:val="center"/>
          </w:tcPr>
          <w:p w14:paraId="42E1100E" w14:textId="77777777" w:rsidR="009A5FB0" w:rsidRDefault="00BF1721">
            <w:pPr>
              <w:widowControl/>
              <w:jc w:val="center"/>
              <w:rPr>
                <w:rFonts w:ascii="宋体" w:hAnsi="宋体"/>
                <w:b/>
                <w:bCs/>
                <w:szCs w:val="21"/>
              </w:rPr>
            </w:pPr>
            <w:r>
              <w:rPr>
                <w:rFonts w:ascii="宋体" w:hAnsi="宋体" w:hint="eastAsia"/>
                <w:b/>
                <w:bCs/>
                <w:szCs w:val="21"/>
              </w:rPr>
              <w:t>备</w:t>
            </w:r>
            <w:r>
              <w:rPr>
                <w:rFonts w:ascii="宋体" w:hAnsi="宋体" w:hint="eastAsia"/>
                <w:b/>
                <w:bCs/>
                <w:szCs w:val="21"/>
              </w:rPr>
              <w:t xml:space="preserve"> </w:t>
            </w:r>
            <w:r>
              <w:rPr>
                <w:rFonts w:ascii="宋体" w:hAnsi="宋体" w:hint="eastAsia"/>
                <w:b/>
                <w:bCs/>
                <w:szCs w:val="21"/>
              </w:rPr>
              <w:t>注</w:t>
            </w:r>
          </w:p>
        </w:tc>
      </w:tr>
      <w:tr w:rsidR="009A5FB0" w14:paraId="6491B703"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40D6A960"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062CAB9C" w14:textId="77777777" w:rsidR="009A5FB0" w:rsidRDefault="00BF1721">
            <w:pPr>
              <w:widowControl/>
              <w:jc w:val="left"/>
              <w:rPr>
                <w:rFonts w:ascii="宋体" w:hAnsi="宋体"/>
                <w:szCs w:val="21"/>
              </w:rPr>
            </w:pPr>
            <w:r>
              <w:rPr>
                <w:rFonts w:ascii="宋体" w:hAnsi="宋体" w:hint="eastAsia"/>
                <w:szCs w:val="21"/>
              </w:rPr>
              <w:t>钢材</w:t>
            </w:r>
          </w:p>
        </w:tc>
        <w:tc>
          <w:tcPr>
            <w:tcW w:w="3225" w:type="dxa"/>
            <w:tcBorders>
              <w:top w:val="single" w:sz="4" w:space="0" w:color="000000"/>
              <w:left w:val="nil"/>
              <w:bottom w:val="single" w:sz="4" w:space="0" w:color="000000"/>
              <w:right w:val="single" w:sz="4" w:space="0" w:color="000000"/>
            </w:tcBorders>
            <w:noWrap/>
            <w:vAlign w:val="center"/>
          </w:tcPr>
          <w:p w14:paraId="7AC02A14" w14:textId="77777777" w:rsidR="009A5FB0" w:rsidRDefault="00BF1721">
            <w:pPr>
              <w:widowControl/>
              <w:jc w:val="left"/>
              <w:rPr>
                <w:rFonts w:ascii="宋体" w:hAnsi="宋体"/>
                <w:szCs w:val="21"/>
              </w:rPr>
            </w:pPr>
            <w:r>
              <w:rPr>
                <w:rFonts w:ascii="宋体" w:hAnsi="宋体" w:hint="eastAsia"/>
                <w:szCs w:val="21"/>
              </w:rPr>
              <w:t>湘钢、涟钢、武钢</w:t>
            </w:r>
          </w:p>
        </w:tc>
        <w:tc>
          <w:tcPr>
            <w:tcW w:w="2341" w:type="dxa"/>
            <w:tcBorders>
              <w:top w:val="single" w:sz="4" w:space="0" w:color="000000"/>
              <w:left w:val="nil"/>
              <w:bottom w:val="single" w:sz="4" w:space="0" w:color="000000"/>
              <w:right w:val="single" w:sz="4" w:space="0" w:color="000000"/>
            </w:tcBorders>
            <w:noWrap/>
            <w:vAlign w:val="center"/>
          </w:tcPr>
          <w:p w14:paraId="391B3A20" w14:textId="77777777" w:rsidR="009A5FB0" w:rsidRDefault="009A5FB0">
            <w:pPr>
              <w:widowControl/>
              <w:jc w:val="left"/>
              <w:rPr>
                <w:rFonts w:ascii="宋体" w:hAnsi="宋体"/>
                <w:szCs w:val="21"/>
              </w:rPr>
            </w:pPr>
          </w:p>
        </w:tc>
      </w:tr>
      <w:tr w:rsidR="009A5FB0" w14:paraId="3280607A"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4526E2AE"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7FD2F8F6" w14:textId="77777777" w:rsidR="009A5FB0" w:rsidRDefault="00BF1721">
            <w:pPr>
              <w:widowControl/>
              <w:jc w:val="left"/>
              <w:rPr>
                <w:rFonts w:ascii="宋体" w:hAnsi="宋体"/>
                <w:szCs w:val="21"/>
              </w:rPr>
            </w:pPr>
            <w:r>
              <w:rPr>
                <w:rFonts w:ascii="宋体" w:hAnsi="宋体" w:hint="eastAsia"/>
                <w:szCs w:val="21"/>
              </w:rPr>
              <w:t>水泥</w:t>
            </w:r>
          </w:p>
        </w:tc>
        <w:tc>
          <w:tcPr>
            <w:tcW w:w="3225" w:type="dxa"/>
            <w:tcBorders>
              <w:top w:val="single" w:sz="4" w:space="0" w:color="000000"/>
              <w:left w:val="nil"/>
              <w:bottom w:val="single" w:sz="4" w:space="0" w:color="000000"/>
              <w:right w:val="single" w:sz="4" w:space="0" w:color="000000"/>
            </w:tcBorders>
            <w:noWrap/>
            <w:vAlign w:val="center"/>
          </w:tcPr>
          <w:p w14:paraId="5BA5E7B5" w14:textId="77777777" w:rsidR="009A5FB0" w:rsidRDefault="00BF1721">
            <w:pPr>
              <w:widowControl/>
              <w:jc w:val="left"/>
              <w:rPr>
                <w:rFonts w:ascii="宋体" w:hAnsi="宋体"/>
                <w:szCs w:val="21"/>
              </w:rPr>
            </w:pPr>
            <w:r>
              <w:rPr>
                <w:rFonts w:ascii="宋体" w:hAnsi="宋体" w:hint="eastAsia"/>
                <w:szCs w:val="21"/>
              </w:rPr>
              <w:t>印山台、碧螺、南方、太平、兆山</w:t>
            </w:r>
          </w:p>
        </w:tc>
        <w:tc>
          <w:tcPr>
            <w:tcW w:w="2341" w:type="dxa"/>
            <w:tcBorders>
              <w:top w:val="single" w:sz="4" w:space="0" w:color="000000"/>
              <w:left w:val="nil"/>
              <w:bottom w:val="single" w:sz="4" w:space="0" w:color="000000"/>
              <w:right w:val="single" w:sz="4" w:space="0" w:color="000000"/>
            </w:tcBorders>
            <w:noWrap/>
            <w:vAlign w:val="center"/>
          </w:tcPr>
          <w:p w14:paraId="06B6EBCA" w14:textId="77777777" w:rsidR="009A5FB0" w:rsidRDefault="009A5FB0">
            <w:pPr>
              <w:widowControl/>
              <w:jc w:val="left"/>
              <w:rPr>
                <w:rFonts w:ascii="宋体" w:hAnsi="宋体"/>
                <w:szCs w:val="21"/>
              </w:rPr>
            </w:pPr>
          </w:p>
        </w:tc>
      </w:tr>
      <w:tr w:rsidR="009A5FB0" w14:paraId="7B9D6236" w14:textId="77777777">
        <w:trPr>
          <w:trHeight w:val="599"/>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0201F5BA"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203C8609" w14:textId="77777777" w:rsidR="009A5FB0" w:rsidRDefault="00BF1721">
            <w:pPr>
              <w:widowControl/>
              <w:jc w:val="left"/>
              <w:rPr>
                <w:rFonts w:ascii="宋体" w:hAnsi="宋体"/>
                <w:szCs w:val="21"/>
              </w:rPr>
            </w:pPr>
            <w:r>
              <w:rPr>
                <w:rFonts w:ascii="宋体" w:hAnsi="宋体" w:hint="eastAsia"/>
                <w:szCs w:val="21"/>
              </w:rPr>
              <w:t>板材（含家具板材）</w:t>
            </w:r>
          </w:p>
        </w:tc>
        <w:tc>
          <w:tcPr>
            <w:tcW w:w="3225" w:type="dxa"/>
            <w:tcBorders>
              <w:top w:val="single" w:sz="4" w:space="0" w:color="000000"/>
              <w:left w:val="nil"/>
              <w:bottom w:val="single" w:sz="4" w:space="0" w:color="000000"/>
              <w:right w:val="single" w:sz="4" w:space="0" w:color="000000"/>
            </w:tcBorders>
            <w:noWrap/>
            <w:vAlign w:val="center"/>
          </w:tcPr>
          <w:p w14:paraId="4CEEDA38" w14:textId="77777777" w:rsidR="009A5FB0" w:rsidRDefault="00BF1721">
            <w:pPr>
              <w:widowControl/>
              <w:jc w:val="left"/>
              <w:rPr>
                <w:rFonts w:ascii="宋体" w:hAnsi="宋体"/>
                <w:szCs w:val="21"/>
              </w:rPr>
            </w:pPr>
            <w:r>
              <w:rPr>
                <w:rFonts w:ascii="宋体" w:hAnsi="宋体" w:hint="eastAsia"/>
                <w:szCs w:val="21"/>
              </w:rPr>
              <w:t>福湘</w:t>
            </w:r>
            <w:r>
              <w:rPr>
                <w:rFonts w:ascii="宋体" w:hAnsi="宋体" w:hint="eastAsia"/>
                <w:szCs w:val="21"/>
              </w:rPr>
              <w:t>E0</w:t>
            </w:r>
            <w:r>
              <w:rPr>
                <w:rFonts w:ascii="宋体" w:hAnsi="宋体" w:hint="eastAsia"/>
                <w:szCs w:val="21"/>
              </w:rPr>
              <w:t>级、万象</w:t>
            </w:r>
            <w:r>
              <w:rPr>
                <w:rFonts w:ascii="宋体" w:hAnsi="宋体" w:hint="eastAsia"/>
                <w:szCs w:val="21"/>
              </w:rPr>
              <w:t>E0</w:t>
            </w:r>
            <w:r>
              <w:rPr>
                <w:rFonts w:ascii="宋体" w:hAnsi="宋体" w:hint="eastAsia"/>
                <w:szCs w:val="21"/>
              </w:rPr>
              <w:t>级、兔宝宝</w:t>
            </w:r>
            <w:r>
              <w:rPr>
                <w:rFonts w:ascii="宋体" w:hAnsi="宋体" w:hint="eastAsia"/>
                <w:szCs w:val="21"/>
              </w:rPr>
              <w:t>E0</w:t>
            </w:r>
            <w:r>
              <w:rPr>
                <w:rFonts w:ascii="宋体" w:hAnsi="宋体" w:hint="eastAsia"/>
                <w:szCs w:val="21"/>
              </w:rPr>
              <w:t>级</w:t>
            </w:r>
          </w:p>
        </w:tc>
        <w:tc>
          <w:tcPr>
            <w:tcW w:w="2341" w:type="dxa"/>
            <w:tcBorders>
              <w:top w:val="single" w:sz="4" w:space="0" w:color="000000"/>
              <w:left w:val="nil"/>
              <w:bottom w:val="single" w:sz="4" w:space="0" w:color="000000"/>
              <w:right w:val="single" w:sz="4" w:space="0" w:color="000000"/>
            </w:tcBorders>
            <w:noWrap/>
            <w:vAlign w:val="center"/>
          </w:tcPr>
          <w:p w14:paraId="023663C0" w14:textId="77777777" w:rsidR="009A5FB0" w:rsidRDefault="009A5FB0">
            <w:pPr>
              <w:widowControl/>
              <w:jc w:val="left"/>
              <w:rPr>
                <w:rFonts w:ascii="宋体" w:hAnsi="宋体"/>
                <w:szCs w:val="21"/>
              </w:rPr>
            </w:pPr>
          </w:p>
        </w:tc>
      </w:tr>
      <w:tr w:rsidR="009A5FB0" w14:paraId="7FC4C171"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5FCDAAED"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702339DC" w14:textId="77777777" w:rsidR="009A5FB0" w:rsidRDefault="00BF1721">
            <w:pPr>
              <w:widowControl/>
              <w:jc w:val="left"/>
              <w:rPr>
                <w:rFonts w:ascii="宋体" w:hAnsi="宋体"/>
                <w:szCs w:val="21"/>
              </w:rPr>
            </w:pPr>
            <w:r>
              <w:rPr>
                <w:rFonts w:ascii="宋体" w:hAnsi="宋体" w:hint="eastAsia"/>
                <w:szCs w:val="21"/>
              </w:rPr>
              <w:t>玻璃</w:t>
            </w:r>
          </w:p>
        </w:tc>
        <w:tc>
          <w:tcPr>
            <w:tcW w:w="3225" w:type="dxa"/>
            <w:tcBorders>
              <w:top w:val="single" w:sz="4" w:space="0" w:color="000000"/>
              <w:left w:val="nil"/>
              <w:bottom w:val="single" w:sz="4" w:space="0" w:color="000000"/>
              <w:right w:val="single" w:sz="4" w:space="0" w:color="000000"/>
            </w:tcBorders>
            <w:noWrap/>
            <w:vAlign w:val="center"/>
          </w:tcPr>
          <w:p w14:paraId="126F9F1E" w14:textId="77777777" w:rsidR="009A5FB0" w:rsidRDefault="00BF1721">
            <w:pPr>
              <w:widowControl/>
              <w:jc w:val="left"/>
              <w:rPr>
                <w:rFonts w:ascii="宋体" w:hAnsi="宋体"/>
                <w:szCs w:val="21"/>
              </w:rPr>
            </w:pPr>
            <w:r>
              <w:rPr>
                <w:rFonts w:ascii="宋体" w:hAnsi="宋体" w:hint="eastAsia"/>
                <w:szCs w:val="21"/>
              </w:rPr>
              <w:t>咸宁南玻、潇湘玻璃、耀华玻璃</w:t>
            </w:r>
          </w:p>
        </w:tc>
        <w:tc>
          <w:tcPr>
            <w:tcW w:w="2341" w:type="dxa"/>
            <w:tcBorders>
              <w:top w:val="single" w:sz="4" w:space="0" w:color="000000"/>
              <w:left w:val="nil"/>
              <w:bottom w:val="single" w:sz="4" w:space="0" w:color="000000"/>
              <w:right w:val="single" w:sz="4" w:space="0" w:color="000000"/>
            </w:tcBorders>
            <w:noWrap/>
            <w:vAlign w:val="center"/>
          </w:tcPr>
          <w:p w14:paraId="5F37EE7B" w14:textId="77777777" w:rsidR="009A5FB0" w:rsidRDefault="009A5FB0">
            <w:pPr>
              <w:widowControl/>
              <w:jc w:val="left"/>
              <w:rPr>
                <w:rFonts w:ascii="宋体" w:hAnsi="宋体"/>
                <w:szCs w:val="21"/>
              </w:rPr>
            </w:pPr>
          </w:p>
        </w:tc>
      </w:tr>
      <w:tr w:rsidR="009A5FB0" w14:paraId="325F409D"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3A3E074F"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78AB33E4" w14:textId="77777777" w:rsidR="009A5FB0" w:rsidRDefault="00BF1721">
            <w:pPr>
              <w:widowControl/>
              <w:jc w:val="left"/>
              <w:rPr>
                <w:rFonts w:ascii="宋体" w:hAnsi="宋体"/>
                <w:szCs w:val="21"/>
              </w:rPr>
            </w:pPr>
            <w:r>
              <w:rPr>
                <w:rFonts w:ascii="宋体" w:hAnsi="宋体" w:hint="eastAsia"/>
                <w:szCs w:val="21"/>
              </w:rPr>
              <w:t>改性沥青防水卷材</w:t>
            </w:r>
          </w:p>
        </w:tc>
        <w:tc>
          <w:tcPr>
            <w:tcW w:w="3225" w:type="dxa"/>
            <w:tcBorders>
              <w:top w:val="single" w:sz="4" w:space="0" w:color="000000"/>
              <w:left w:val="nil"/>
              <w:bottom w:val="single" w:sz="4" w:space="0" w:color="000000"/>
              <w:right w:val="single" w:sz="4" w:space="0" w:color="000000"/>
            </w:tcBorders>
            <w:noWrap/>
            <w:vAlign w:val="center"/>
          </w:tcPr>
          <w:p w14:paraId="5AF2BBFF" w14:textId="77777777" w:rsidR="009A5FB0" w:rsidRDefault="00BF1721">
            <w:pPr>
              <w:widowControl/>
              <w:jc w:val="left"/>
              <w:rPr>
                <w:rFonts w:ascii="宋体" w:hAnsi="宋体"/>
                <w:szCs w:val="21"/>
              </w:rPr>
            </w:pPr>
            <w:r>
              <w:rPr>
                <w:rFonts w:ascii="宋体" w:hAnsi="宋体" w:hint="eastAsia"/>
                <w:szCs w:val="21"/>
              </w:rPr>
              <w:t>德高、东方雨虹、大禹、汇源、禹王</w:t>
            </w:r>
          </w:p>
        </w:tc>
        <w:tc>
          <w:tcPr>
            <w:tcW w:w="2341" w:type="dxa"/>
            <w:tcBorders>
              <w:top w:val="single" w:sz="4" w:space="0" w:color="000000"/>
              <w:left w:val="nil"/>
              <w:bottom w:val="single" w:sz="4" w:space="0" w:color="000000"/>
              <w:right w:val="single" w:sz="4" w:space="0" w:color="000000"/>
            </w:tcBorders>
            <w:noWrap/>
            <w:vAlign w:val="center"/>
          </w:tcPr>
          <w:p w14:paraId="2D22FD61" w14:textId="77777777" w:rsidR="009A5FB0" w:rsidRDefault="009A5FB0">
            <w:pPr>
              <w:widowControl/>
              <w:jc w:val="left"/>
              <w:rPr>
                <w:rFonts w:ascii="宋体" w:hAnsi="宋体"/>
                <w:szCs w:val="21"/>
              </w:rPr>
            </w:pPr>
          </w:p>
        </w:tc>
      </w:tr>
      <w:tr w:rsidR="009A5FB0" w14:paraId="7FF0F6C7"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0B3EA0BA"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7CA8C34D" w14:textId="77777777" w:rsidR="009A5FB0" w:rsidRDefault="00BF1721">
            <w:pPr>
              <w:widowControl/>
              <w:jc w:val="left"/>
              <w:rPr>
                <w:rFonts w:ascii="宋体" w:hAnsi="宋体"/>
                <w:szCs w:val="21"/>
              </w:rPr>
            </w:pPr>
            <w:r>
              <w:rPr>
                <w:rFonts w:ascii="宋体" w:hAnsi="宋体" w:hint="eastAsia"/>
                <w:szCs w:val="21"/>
              </w:rPr>
              <w:t>乳胶漆、墙漆、外墙漆、真石漆、防尘漆</w:t>
            </w:r>
          </w:p>
        </w:tc>
        <w:tc>
          <w:tcPr>
            <w:tcW w:w="3225" w:type="dxa"/>
            <w:tcBorders>
              <w:top w:val="single" w:sz="4" w:space="0" w:color="000000"/>
              <w:left w:val="nil"/>
              <w:bottom w:val="single" w:sz="4" w:space="0" w:color="000000"/>
              <w:right w:val="single" w:sz="4" w:space="0" w:color="000000"/>
            </w:tcBorders>
            <w:noWrap/>
            <w:vAlign w:val="center"/>
          </w:tcPr>
          <w:p w14:paraId="715968F7" w14:textId="77777777" w:rsidR="009A5FB0" w:rsidRDefault="00BF1721">
            <w:pPr>
              <w:widowControl/>
              <w:jc w:val="left"/>
              <w:rPr>
                <w:rFonts w:ascii="宋体" w:hAnsi="宋体"/>
                <w:szCs w:val="21"/>
              </w:rPr>
            </w:pPr>
            <w:r>
              <w:rPr>
                <w:rFonts w:ascii="宋体" w:hAnsi="宋体" w:hint="eastAsia"/>
                <w:szCs w:val="21"/>
              </w:rPr>
              <w:t>立邦、华润、三棵树</w:t>
            </w:r>
          </w:p>
        </w:tc>
        <w:tc>
          <w:tcPr>
            <w:tcW w:w="2341" w:type="dxa"/>
            <w:tcBorders>
              <w:top w:val="single" w:sz="4" w:space="0" w:color="000000"/>
              <w:left w:val="nil"/>
              <w:bottom w:val="single" w:sz="4" w:space="0" w:color="000000"/>
              <w:right w:val="single" w:sz="4" w:space="0" w:color="000000"/>
            </w:tcBorders>
            <w:noWrap/>
            <w:vAlign w:val="center"/>
          </w:tcPr>
          <w:p w14:paraId="0E1CBFA6" w14:textId="77777777" w:rsidR="009A5FB0" w:rsidRDefault="009A5FB0">
            <w:pPr>
              <w:widowControl/>
              <w:jc w:val="left"/>
              <w:rPr>
                <w:rFonts w:ascii="宋体" w:hAnsi="宋体"/>
                <w:szCs w:val="21"/>
              </w:rPr>
            </w:pPr>
          </w:p>
        </w:tc>
      </w:tr>
      <w:tr w:rsidR="009A5FB0" w14:paraId="4F33EC91"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5A382854"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376FF80E" w14:textId="77777777" w:rsidR="009A5FB0" w:rsidRDefault="00BF1721">
            <w:pPr>
              <w:widowControl/>
              <w:jc w:val="left"/>
              <w:rPr>
                <w:rFonts w:ascii="宋体" w:hAnsi="宋体"/>
                <w:szCs w:val="21"/>
              </w:rPr>
            </w:pPr>
            <w:r>
              <w:rPr>
                <w:rFonts w:ascii="宋体" w:hAnsi="宋体" w:hint="eastAsia"/>
                <w:szCs w:val="21"/>
              </w:rPr>
              <w:t>室内地面砖</w:t>
            </w:r>
          </w:p>
        </w:tc>
        <w:tc>
          <w:tcPr>
            <w:tcW w:w="3225" w:type="dxa"/>
            <w:tcBorders>
              <w:top w:val="single" w:sz="4" w:space="0" w:color="000000"/>
              <w:left w:val="nil"/>
              <w:bottom w:val="single" w:sz="4" w:space="0" w:color="000000"/>
              <w:right w:val="single" w:sz="4" w:space="0" w:color="000000"/>
            </w:tcBorders>
            <w:noWrap/>
            <w:vAlign w:val="center"/>
          </w:tcPr>
          <w:p w14:paraId="5D8C0D3F" w14:textId="77777777" w:rsidR="009A5FB0" w:rsidRDefault="00BF1721">
            <w:pPr>
              <w:widowControl/>
              <w:jc w:val="left"/>
              <w:rPr>
                <w:rFonts w:ascii="宋体" w:hAnsi="宋体"/>
                <w:szCs w:val="21"/>
              </w:rPr>
            </w:pPr>
            <w:r>
              <w:rPr>
                <w:rFonts w:ascii="宋体" w:hAnsi="宋体" w:hint="eastAsia"/>
                <w:szCs w:val="21"/>
              </w:rPr>
              <w:t>东鹏</w:t>
            </w:r>
            <w:r>
              <w:rPr>
                <w:rFonts w:ascii="宋体" w:hAnsi="宋体" w:hint="eastAsia"/>
                <w:szCs w:val="21"/>
              </w:rPr>
              <w:t>(DONGPENG)</w:t>
            </w:r>
            <w:r>
              <w:rPr>
                <w:rFonts w:ascii="宋体" w:hAnsi="宋体" w:hint="eastAsia"/>
                <w:szCs w:val="21"/>
              </w:rPr>
              <w:t>、斯米克、蒙娜丽莎、诺贝尔</w:t>
            </w:r>
          </w:p>
        </w:tc>
        <w:tc>
          <w:tcPr>
            <w:tcW w:w="2341" w:type="dxa"/>
            <w:tcBorders>
              <w:top w:val="single" w:sz="4" w:space="0" w:color="000000"/>
              <w:left w:val="nil"/>
              <w:bottom w:val="single" w:sz="4" w:space="0" w:color="000000"/>
              <w:right w:val="single" w:sz="4" w:space="0" w:color="000000"/>
            </w:tcBorders>
            <w:noWrap/>
            <w:vAlign w:val="center"/>
          </w:tcPr>
          <w:p w14:paraId="60E513C2" w14:textId="77777777" w:rsidR="009A5FB0" w:rsidRDefault="00BF1721">
            <w:pPr>
              <w:widowControl/>
              <w:jc w:val="left"/>
              <w:rPr>
                <w:rFonts w:ascii="宋体" w:hAnsi="宋体"/>
                <w:szCs w:val="21"/>
              </w:rPr>
            </w:pPr>
            <w:r>
              <w:rPr>
                <w:rFonts w:ascii="宋体" w:hAnsi="宋体" w:hint="eastAsia"/>
                <w:szCs w:val="21"/>
              </w:rPr>
              <w:t>300</w:t>
            </w:r>
            <w:r>
              <w:rPr>
                <w:rFonts w:ascii="宋体" w:hAnsi="宋体" w:hint="eastAsia"/>
                <w:szCs w:val="21"/>
              </w:rPr>
              <w:t>×</w:t>
            </w:r>
            <w:r>
              <w:rPr>
                <w:rFonts w:ascii="宋体" w:hAnsi="宋体" w:hint="eastAsia"/>
                <w:szCs w:val="21"/>
              </w:rPr>
              <w:t>300</w:t>
            </w:r>
            <w:r>
              <w:rPr>
                <w:rFonts w:ascii="宋体" w:hAnsi="宋体" w:hint="eastAsia"/>
                <w:szCs w:val="21"/>
              </w:rPr>
              <w:t>地砖、</w:t>
            </w:r>
            <w:r>
              <w:rPr>
                <w:rFonts w:ascii="宋体" w:hAnsi="宋体" w:hint="eastAsia"/>
                <w:szCs w:val="21"/>
              </w:rPr>
              <w:t>600</w:t>
            </w:r>
            <w:r>
              <w:rPr>
                <w:rFonts w:ascii="宋体" w:hAnsi="宋体" w:hint="eastAsia"/>
                <w:szCs w:val="21"/>
              </w:rPr>
              <w:t>×</w:t>
            </w:r>
            <w:r>
              <w:rPr>
                <w:rFonts w:ascii="宋体" w:hAnsi="宋体" w:hint="eastAsia"/>
                <w:szCs w:val="21"/>
              </w:rPr>
              <w:t>600</w:t>
            </w:r>
            <w:r>
              <w:rPr>
                <w:rFonts w:ascii="宋体" w:hAnsi="宋体" w:hint="eastAsia"/>
                <w:szCs w:val="21"/>
              </w:rPr>
              <w:t>地砖，须保证防滑效果，且均为优等品</w:t>
            </w:r>
          </w:p>
        </w:tc>
      </w:tr>
      <w:tr w:rsidR="009A5FB0" w14:paraId="40322677" w14:textId="77777777">
        <w:trPr>
          <w:trHeight w:val="687"/>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16075085"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31A8A9A0" w14:textId="77777777" w:rsidR="009A5FB0" w:rsidRDefault="00BF1721">
            <w:pPr>
              <w:widowControl/>
              <w:jc w:val="left"/>
              <w:rPr>
                <w:rFonts w:ascii="宋体" w:hAnsi="宋体"/>
                <w:szCs w:val="21"/>
              </w:rPr>
            </w:pPr>
            <w:r>
              <w:rPr>
                <w:rFonts w:ascii="宋体" w:hAnsi="宋体" w:hint="eastAsia"/>
                <w:szCs w:val="21"/>
              </w:rPr>
              <w:t>墙面“</w:t>
            </w:r>
            <w:r>
              <w:rPr>
                <w:rFonts w:ascii="宋体" w:hAnsi="宋体" w:hint="eastAsia"/>
                <w:szCs w:val="21"/>
              </w:rPr>
              <w:t>100</w:t>
            </w:r>
            <w:r>
              <w:rPr>
                <w:rFonts w:ascii="宋体" w:hAnsi="宋体" w:hint="eastAsia"/>
                <w:szCs w:val="21"/>
              </w:rPr>
              <w:t>×</w:t>
            </w:r>
            <w:r>
              <w:rPr>
                <w:rFonts w:ascii="宋体" w:hAnsi="宋体" w:hint="eastAsia"/>
                <w:szCs w:val="21"/>
              </w:rPr>
              <w:t>100</w:t>
            </w:r>
            <w:r>
              <w:rPr>
                <w:rFonts w:ascii="宋体" w:hAnsi="宋体" w:hint="eastAsia"/>
                <w:szCs w:val="21"/>
              </w:rPr>
              <w:t>马赛克”砖</w:t>
            </w:r>
          </w:p>
        </w:tc>
        <w:tc>
          <w:tcPr>
            <w:tcW w:w="3225" w:type="dxa"/>
            <w:tcBorders>
              <w:top w:val="single" w:sz="4" w:space="0" w:color="000000"/>
              <w:left w:val="nil"/>
              <w:bottom w:val="single" w:sz="4" w:space="0" w:color="000000"/>
              <w:right w:val="single" w:sz="4" w:space="0" w:color="000000"/>
            </w:tcBorders>
            <w:noWrap/>
            <w:vAlign w:val="center"/>
          </w:tcPr>
          <w:p w14:paraId="2E803884" w14:textId="77777777" w:rsidR="009A5FB0" w:rsidRDefault="00BF1721">
            <w:pPr>
              <w:widowControl/>
              <w:jc w:val="left"/>
              <w:rPr>
                <w:rFonts w:ascii="宋体" w:hAnsi="宋体"/>
                <w:szCs w:val="21"/>
              </w:rPr>
            </w:pPr>
            <w:r>
              <w:rPr>
                <w:rFonts w:ascii="宋体" w:hAnsi="宋体" w:hint="eastAsia"/>
                <w:szCs w:val="21"/>
              </w:rPr>
              <w:t>双鸥、淘陶，需达到公示产品的相关规格及标准</w:t>
            </w:r>
          </w:p>
        </w:tc>
        <w:tc>
          <w:tcPr>
            <w:tcW w:w="2341" w:type="dxa"/>
            <w:tcBorders>
              <w:top w:val="single" w:sz="4" w:space="0" w:color="000000"/>
              <w:left w:val="nil"/>
              <w:bottom w:val="single" w:sz="4" w:space="0" w:color="000000"/>
              <w:right w:val="single" w:sz="4" w:space="0" w:color="000000"/>
            </w:tcBorders>
            <w:noWrap/>
            <w:vAlign w:val="center"/>
          </w:tcPr>
          <w:p w14:paraId="0804EE2F" w14:textId="77777777" w:rsidR="009A5FB0" w:rsidRDefault="009A5FB0">
            <w:pPr>
              <w:widowControl/>
              <w:jc w:val="left"/>
              <w:rPr>
                <w:rFonts w:ascii="宋体" w:hAnsi="宋体"/>
                <w:szCs w:val="21"/>
              </w:rPr>
            </w:pPr>
          </w:p>
        </w:tc>
      </w:tr>
      <w:tr w:rsidR="009A5FB0" w14:paraId="042B0522"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5EFA6F35"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48892523" w14:textId="77777777" w:rsidR="009A5FB0" w:rsidRDefault="00BF1721">
            <w:pPr>
              <w:widowControl/>
              <w:jc w:val="left"/>
              <w:rPr>
                <w:rFonts w:ascii="宋体" w:hAnsi="宋体"/>
                <w:szCs w:val="21"/>
              </w:rPr>
            </w:pPr>
            <w:r>
              <w:rPr>
                <w:rFonts w:ascii="宋体" w:hAnsi="宋体" w:hint="eastAsia"/>
                <w:szCs w:val="21"/>
              </w:rPr>
              <w:t>成品防盗门</w:t>
            </w:r>
          </w:p>
        </w:tc>
        <w:tc>
          <w:tcPr>
            <w:tcW w:w="3225" w:type="dxa"/>
            <w:tcBorders>
              <w:top w:val="single" w:sz="4" w:space="0" w:color="000000"/>
              <w:left w:val="nil"/>
              <w:bottom w:val="single" w:sz="4" w:space="0" w:color="000000"/>
              <w:right w:val="single" w:sz="4" w:space="0" w:color="000000"/>
            </w:tcBorders>
            <w:noWrap/>
            <w:vAlign w:val="center"/>
          </w:tcPr>
          <w:p w14:paraId="5062843C" w14:textId="77777777" w:rsidR="009A5FB0" w:rsidRDefault="00BF1721">
            <w:pPr>
              <w:widowControl/>
              <w:jc w:val="left"/>
              <w:rPr>
                <w:rFonts w:ascii="宋体" w:hAnsi="宋体"/>
                <w:szCs w:val="21"/>
              </w:rPr>
            </w:pPr>
            <w:r>
              <w:rPr>
                <w:rFonts w:ascii="宋体" w:hAnsi="宋体" w:hint="eastAsia"/>
                <w:szCs w:val="21"/>
              </w:rPr>
              <w:t>王力、步阳或国产优质的同档次品牌</w:t>
            </w:r>
          </w:p>
        </w:tc>
        <w:tc>
          <w:tcPr>
            <w:tcW w:w="2341" w:type="dxa"/>
            <w:tcBorders>
              <w:top w:val="single" w:sz="4" w:space="0" w:color="000000"/>
              <w:left w:val="nil"/>
              <w:bottom w:val="single" w:sz="4" w:space="0" w:color="000000"/>
              <w:right w:val="single" w:sz="4" w:space="0" w:color="000000"/>
            </w:tcBorders>
            <w:noWrap/>
            <w:vAlign w:val="center"/>
          </w:tcPr>
          <w:p w14:paraId="6E77C770" w14:textId="77777777" w:rsidR="009A5FB0" w:rsidRDefault="009A5FB0">
            <w:pPr>
              <w:widowControl/>
              <w:jc w:val="left"/>
              <w:rPr>
                <w:rFonts w:ascii="宋体" w:hAnsi="宋体"/>
                <w:szCs w:val="21"/>
              </w:rPr>
            </w:pPr>
          </w:p>
        </w:tc>
      </w:tr>
      <w:tr w:rsidR="009A5FB0" w14:paraId="1D18CD8B"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01709D22"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5848C22B" w14:textId="77777777" w:rsidR="009A5FB0" w:rsidRDefault="00BF1721">
            <w:pPr>
              <w:widowControl/>
              <w:jc w:val="left"/>
              <w:rPr>
                <w:rFonts w:ascii="宋体" w:hAnsi="宋体"/>
                <w:szCs w:val="21"/>
              </w:rPr>
            </w:pPr>
            <w:r>
              <w:rPr>
                <w:rFonts w:ascii="宋体" w:hAnsi="宋体" w:hint="eastAsia"/>
                <w:szCs w:val="21"/>
              </w:rPr>
              <w:t>铝合金门窗型材</w:t>
            </w:r>
          </w:p>
        </w:tc>
        <w:tc>
          <w:tcPr>
            <w:tcW w:w="3225" w:type="dxa"/>
            <w:tcBorders>
              <w:top w:val="single" w:sz="4" w:space="0" w:color="000000"/>
              <w:left w:val="nil"/>
              <w:bottom w:val="single" w:sz="4" w:space="0" w:color="000000"/>
              <w:right w:val="single" w:sz="4" w:space="0" w:color="000000"/>
            </w:tcBorders>
            <w:noWrap/>
            <w:vAlign w:val="center"/>
          </w:tcPr>
          <w:p w14:paraId="7A4DDAE3" w14:textId="77777777" w:rsidR="009A5FB0" w:rsidRDefault="00BF1721">
            <w:pPr>
              <w:widowControl/>
              <w:jc w:val="left"/>
              <w:rPr>
                <w:rFonts w:ascii="宋体" w:hAnsi="宋体"/>
                <w:szCs w:val="21"/>
              </w:rPr>
            </w:pPr>
            <w:r>
              <w:rPr>
                <w:rFonts w:ascii="宋体" w:hAnsi="宋体" w:hint="eastAsia"/>
                <w:szCs w:val="21"/>
              </w:rPr>
              <w:t>振升、经阁、凤铝</w:t>
            </w:r>
          </w:p>
        </w:tc>
        <w:tc>
          <w:tcPr>
            <w:tcW w:w="2341" w:type="dxa"/>
            <w:tcBorders>
              <w:top w:val="single" w:sz="4" w:space="0" w:color="000000"/>
              <w:left w:val="nil"/>
              <w:bottom w:val="single" w:sz="4" w:space="0" w:color="000000"/>
              <w:right w:val="single" w:sz="4" w:space="0" w:color="000000"/>
            </w:tcBorders>
            <w:noWrap/>
            <w:vAlign w:val="center"/>
          </w:tcPr>
          <w:p w14:paraId="17D33805" w14:textId="77777777" w:rsidR="009A5FB0" w:rsidRDefault="009A5FB0">
            <w:pPr>
              <w:widowControl/>
              <w:jc w:val="left"/>
              <w:rPr>
                <w:rFonts w:ascii="宋体" w:hAnsi="宋体"/>
                <w:szCs w:val="21"/>
              </w:rPr>
            </w:pPr>
          </w:p>
        </w:tc>
      </w:tr>
      <w:tr w:rsidR="009A5FB0" w14:paraId="369114A2"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5B920A09"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0C97F27C" w14:textId="77777777" w:rsidR="009A5FB0" w:rsidRDefault="00BF1721">
            <w:pPr>
              <w:widowControl/>
              <w:jc w:val="left"/>
              <w:rPr>
                <w:rFonts w:ascii="宋体" w:hAnsi="宋体"/>
                <w:szCs w:val="21"/>
              </w:rPr>
            </w:pPr>
            <w:r>
              <w:rPr>
                <w:rFonts w:ascii="宋体" w:hAnsi="宋体" w:hint="eastAsia"/>
                <w:szCs w:val="21"/>
              </w:rPr>
              <w:t>铝合金百叶</w:t>
            </w:r>
          </w:p>
        </w:tc>
        <w:tc>
          <w:tcPr>
            <w:tcW w:w="3225" w:type="dxa"/>
            <w:tcBorders>
              <w:top w:val="single" w:sz="4" w:space="0" w:color="000000"/>
              <w:left w:val="nil"/>
              <w:bottom w:val="single" w:sz="4" w:space="0" w:color="000000"/>
              <w:right w:val="single" w:sz="4" w:space="0" w:color="000000"/>
            </w:tcBorders>
            <w:noWrap/>
            <w:vAlign w:val="center"/>
          </w:tcPr>
          <w:p w14:paraId="3C3E3226" w14:textId="77777777" w:rsidR="009A5FB0" w:rsidRDefault="00BF1721">
            <w:pPr>
              <w:widowControl/>
              <w:jc w:val="left"/>
              <w:rPr>
                <w:rFonts w:ascii="宋体" w:hAnsi="宋体"/>
                <w:szCs w:val="21"/>
              </w:rPr>
            </w:pPr>
            <w:r>
              <w:rPr>
                <w:rFonts w:ascii="宋体" w:hAnsi="宋体" w:hint="eastAsia"/>
                <w:szCs w:val="21"/>
              </w:rPr>
              <w:t>振升、经阁、凤铝</w:t>
            </w:r>
          </w:p>
        </w:tc>
        <w:tc>
          <w:tcPr>
            <w:tcW w:w="2341" w:type="dxa"/>
            <w:tcBorders>
              <w:top w:val="single" w:sz="4" w:space="0" w:color="000000"/>
              <w:left w:val="nil"/>
              <w:bottom w:val="single" w:sz="4" w:space="0" w:color="000000"/>
              <w:right w:val="single" w:sz="4" w:space="0" w:color="000000"/>
            </w:tcBorders>
            <w:noWrap/>
            <w:vAlign w:val="center"/>
          </w:tcPr>
          <w:p w14:paraId="3916B100" w14:textId="77777777" w:rsidR="009A5FB0" w:rsidRDefault="009A5FB0">
            <w:pPr>
              <w:widowControl/>
              <w:jc w:val="left"/>
              <w:rPr>
                <w:rFonts w:ascii="宋体" w:hAnsi="宋体"/>
                <w:szCs w:val="21"/>
              </w:rPr>
            </w:pPr>
          </w:p>
        </w:tc>
      </w:tr>
      <w:tr w:rsidR="009A5FB0" w14:paraId="1AE01F91"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76D15733"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580B4340" w14:textId="77777777" w:rsidR="009A5FB0" w:rsidRDefault="00BF1721">
            <w:pPr>
              <w:widowControl/>
              <w:jc w:val="left"/>
              <w:rPr>
                <w:rFonts w:ascii="宋体" w:hAnsi="宋体"/>
                <w:szCs w:val="21"/>
              </w:rPr>
            </w:pPr>
            <w:r>
              <w:rPr>
                <w:rFonts w:ascii="宋体" w:hAnsi="宋体" w:hint="eastAsia"/>
                <w:szCs w:val="21"/>
              </w:rPr>
              <w:t>PP-R</w:t>
            </w:r>
            <w:r>
              <w:rPr>
                <w:rFonts w:ascii="宋体" w:hAnsi="宋体" w:hint="eastAsia"/>
                <w:szCs w:val="21"/>
              </w:rPr>
              <w:t>给水管、</w:t>
            </w:r>
            <w:r>
              <w:rPr>
                <w:rFonts w:ascii="宋体" w:hAnsi="宋体" w:hint="eastAsia"/>
                <w:szCs w:val="21"/>
              </w:rPr>
              <w:t>U-PVC</w:t>
            </w:r>
            <w:r>
              <w:rPr>
                <w:rFonts w:ascii="宋体" w:hAnsi="宋体" w:hint="eastAsia"/>
                <w:szCs w:val="21"/>
              </w:rPr>
              <w:t>排水管、</w:t>
            </w:r>
            <w:r>
              <w:rPr>
                <w:rFonts w:ascii="宋体" w:hAnsi="宋体" w:hint="eastAsia"/>
                <w:szCs w:val="21"/>
              </w:rPr>
              <w:t>PVC</w:t>
            </w:r>
            <w:r>
              <w:rPr>
                <w:rFonts w:ascii="宋体" w:hAnsi="宋体" w:hint="eastAsia"/>
                <w:szCs w:val="21"/>
              </w:rPr>
              <w:t>电线管、</w:t>
            </w:r>
            <w:r>
              <w:rPr>
                <w:rFonts w:ascii="宋体" w:hAnsi="宋体" w:hint="eastAsia"/>
                <w:szCs w:val="21"/>
              </w:rPr>
              <w:t>PC</w:t>
            </w:r>
            <w:r>
              <w:rPr>
                <w:rFonts w:ascii="宋体" w:hAnsi="宋体" w:hint="eastAsia"/>
                <w:szCs w:val="21"/>
              </w:rPr>
              <w:t>电线管</w:t>
            </w:r>
          </w:p>
        </w:tc>
        <w:tc>
          <w:tcPr>
            <w:tcW w:w="3225" w:type="dxa"/>
            <w:tcBorders>
              <w:top w:val="single" w:sz="4" w:space="0" w:color="000000"/>
              <w:left w:val="nil"/>
              <w:bottom w:val="single" w:sz="4" w:space="0" w:color="000000"/>
              <w:right w:val="single" w:sz="4" w:space="0" w:color="000000"/>
            </w:tcBorders>
            <w:noWrap/>
            <w:vAlign w:val="center"/>
          </w:tcPr>
          <w:p w14:paraId="431FD4AD" w14:textId="77777777" w:rsidR="009A5FB0" w:rsidRDefault="00BF1721">
            <w:pPr>
              <w:widowControl/>
              <w:jc w:val="left"/>
              <w:rPr>
                <w:rFonts w:ascii="宋体" w:hAnsi="宋体"/>
                <w:szCs w:val="21"/>
              </w:rPr>
            </w:pPr>
            <w:r>
              <w:rPr>
                <w:rFonts w:ascii="宋体" w:hAnsi="宋体" w:hint="eastAsia"/>
                <w:szCs w:val="21"/>
              </w:rPr>
              <w:t>顾地、联塑、路路通</w:t>
            </w:r>
          </w:p>
        </w:tc>
        <w:tc>
          <w:tcPr>
            <w:tcW w:w="2341" w:type="dxa"/>
            <w:tcBorders>
              <w:top w:val="single" w:sz="4" w:space="0" w:color="000000"/>
              <w:left w:val="nil"/>
              <w:bottom w:val="single" w:sz="4" w:space="0" w:color="000000"/>
              <w:right w:val="single" w:sz="4" w:space="0" w:color="000000"/>
            </w:tcBorders>
            <w:noWrap/>
            <w:vAlign w:val="center"/>
          </w:tcPr>
          <w:p w14:paraId="372ED64D" w14:textId="77777777" w:rsidR="009A5FB0" w:rsidRDefault="00BF1721">
            <w:pPr>
              <w:widowControl/>
              <w:jc w:val="left"/>
              <w:rPr>
                <w:rFonts w:ascii="宋体" w:hAnsi="宋体"/>
                <w:szCs w:val="21"/>
              </w:rPr>
            </w:pPr>
            <w:r>
              <w:rPr>
                <w:rFonts w:ascii="宋体" w:hAnsi="宋体" w:hint="eastAsia"/>
                <w:szCs w:val="21"/>
              </w:rPr>
              <w:t xml:space="preserve">　</w:t>
            </w:r>
          </w:p>
        </w:tc>
      </w:tr>
      <w:tr w:rsidR="009A5FB0" w14:paraId="27142B60"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2327BE1E"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46B54077" w14:textId="77777777" w:rsidR="009A5FB0" w:rsidRDefault="00BF1721">
            <w:pPr>
              <w:widowControl/>
              <w:jc w:val="left"/>
              <w:rPr>
                <w:rFonts w:ascii="宋体" w:hAnsi="宋体"/>
                <w:szCs w:val="21"/>
              </w:rPr>
            </w:pPr>
            <w:r>
              <w:rPr>
                <w:rFonts w:ascii="宋体" w:hAnsi="宋体" w:hint="eastAsia"/>
                <w:szCs w:val="21"/>
              </w:rPr>
              <w:t>钢丝网骨架复合塑料管</w:t>
            </w:r>
          </w:p>
        </w:tc>
        <w:tc>
          <w:tcPr>
            <w:tcW w:w="3225" w:type="dxa"/>
            <w:tcBorders>
              <w:top w:val="single" w:sz="4" w:space="0" w:color="000000"/>
              <w:left w:val="nil"/>
              <w:bottom w:val="single" w:sz="4" w:space="0" w:color="000000"/>
              <w:right w:val="single" w:sz="4" w:space="0" w:color="000000"/>
            </w:tcBorders>
            <w:noWrap/>
            <w:vAlign w:val="center"/>
          </w:tcPr>
          <w:p w14:paraId="3276FE95" w14:textId="77777777" w:rsidR="009A5FB0" w:rsidRDefault="00BF1721">
            <w:pPr>
              <w:widowControl/>
              <w:jc w:val="left"/>
              <w:rPr>
                <w:rFonts w:ascii="宋体" w:hAnsi="宋体"/>
                <w:szCs w:val="21"/>
              </w:rPr>
            </w:pPr>
            <w:r>
              <w:rPr>
                <w:rFonts w:ascii="宋体" w:hAnsi="宋体" w:hint="eastAsia"/>
                <w:szCs w:val="21"/>
              </w:rPr>
              <w:t>东方伍拾年、金牛、天健</w:t>
            </w:r>
          </w:p>
        </w:tc>
        <w:tc>
          <w:tcPr>
            <w:tcW w:w="2341" w:type="dxa"/>
            <w:tcBorders>
              <w:top w:val="single" w:sz="4" w:space="0" w:color="000000"/>
              <w:left w:val="nil"/>
              <w:bottom w:val="single" w:sz="4" w:space="0" w:color="000000"/>
              <w:right w:val="single" w:sz="4" w:space="0" w:color="000000"/>
            </w:tcBorders>
            <w:noWrap/>
            <w:vAlign w:val="center"/>
          </w:tcPr>
          <w:p w14:paraId="1A115C71" w14:textId="77777777" w:rsidR="009A5FB0" w:rsidRDefault="009A5FB0">
            <w:pPr>
              <w:widowControl/>
              <w:jc w:val="left"/>
              <w:rPr>
                <w:rFonts w:ascii="宋体" w:hAnsi="宋体"/>
                <w:szCs w:val="21"/>
              </w:rPr>
            </w:pPr>
          </w:p>
        </w:tc>
      </w:tr>
      <w:tr w:rsidR="009A5FB0" w14:paraId="4E252AF7" w14:textId="77777777">
        <w:trPr>
          <w:trHeight w:val="46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4BD0D0ED"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24EBDFC7" w14:textId="77777777" w:rsidR="009A5FB0" w:rsidRDefault="00BF1721">
            <w:pPr>
              <w:widowControl/>
              <w:jc w:val="left"/>
              <w:rPr>
                <w:rFonts w:ascii="宋体" w:hAnsi="宋体"/>
                <w:szCs w:val="21"/>
              </w:rPr>
            </w:pPr>
            <w:r>
              <w:rPr>
                <w:rFonts w:ascii="宋体" w:hAnsi="宋体" w:hint="eastAsia"/>
                <w:szCs w:val="21"/>
              </w:rPr>
              <w:t>镀锌钢管</w:t>
            </w:r>
          </w:p>
        </w:tc>
        <w:tc>
          <w:tcPr>
            <w:tcW w:w="3225" w:type="dxa"/>
            <w:tcBorders>
              <w:top w:val="single" w:sz="4" w:space="0" w:color="000000"/>
              <w:left w:val="nil"/>
              <w:bottom w:val="single" w:sz="4" w:space="0" w:color="000000"/>
              <w:right w:val="single" w:sz="4" w:space="0" w:color="000000"/>
            </w:tcBorders>
            <w:noWrap/>
            <w:vAlign w:val="center"/>
          </w:tcPr>
          <w:p w14:paraId="07F49A4E" w14:textId="77777777" w:rsidR="009A5FB0" w:rsidRDefault="00BF1721">
            <w:pPr>
              <w:widowControl/>
              <w:jc w:val="left"/>
              <w:rPr>
                <w:rFonts w:ascii="宋体" w:hAnsi="宋体"/>
                <w:szCs w:val="21"/>
              </w:rPr>
            </w:pPr>
            <w:r>
              <w:rPr>
                <w:rFonts w:ascii="宋体" w:hAnsi="宋体" w:hint="eastAsia"/>
                <w:szCs w:val="21"/>
              </w:rPr>
              <w:t>鲲鹏、衡水华岐、金洲</w:t>
            </w:r>
          </w:p>
        </w:tc>
        <w:tc>
          <w:tcPr>
            <w:tcW w:w="2341" w:type="dxa"/>
            <w:tcBorders>
              <w:top w:val="single" w:sz="4" w:space="0" w:color="000000"/>
              <w:left w:val="nil"/>
              <w:bottom w:val="single" w:sz="4" w:space="0" w:color="000000"/>
              <w:right w:val="single" w:sz="4" w:space="0" w:color="000000"/>
            </w:tcBorders>
            <w:noWrap/>
            <w:vAlign w:val="center"/>
          </w:tcPr>
          <w:p w14:paraId="4DD060FA" w14:textId="77777777" w:rsidR="009A5FB0" w:rsidRDefault="00BF1721">
            <w:pPr>
              <w:widowControl/>
              <w:jc w:val="left"/>
              <w:rPr>
                <w:rFonts w:ascii="宋体" w:hAnsi="宋体"/>
                <w:szCs w:val="21"/>
              </w:rPr>
            </w:pPr>
            <w:r>
              <w:rPr>
                <w:rFonts w:ascii="宋体" w:hAnsi="宋体" w:hint="eastAsia"/>
                <w:szCs w:val="21"/>
              </w:rPr>
              <w:t xml:space="preserve">　国标厚度</w:t>
            </w:r>
          </w:p>
        </w:tc>
      </w:tr>
      <w:tr w:rsidR="009A5FB0" w14:paraId="067A5D03" w14:textId="77777777">
        <w:trPr>
          <w:trHeight w:val="46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02EE1EE6"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042416E1" w14:textId="77777777" w:rsidR="009A5FB0" w:rsidRDefault="00BF1721">
            <w:pPr>
              <w:widowControl/>
              <w:jc w:val="left"/>
              <w:rPr>
                <w:rFonts w:ascii="宋体" w:hAnsi="宋体"/>
                <w:szCs w:val="21"/>
              </w:rPr>
            </w:pPr>
            <w:r>
              <w:rPr>
                <w:rFonts w:ascii="宋体" w:hAnsi="宋体" w:hint="eastAsia"/>
                <w:szCs w:val="21"/>
              </w:rPr>
              <w:t>KBG</w:t>
            </w:r>
            <w:r>
              <w:rPr>
                <w:rFonts w:ascii="宋体" w:hAnsi="宋体" w:hint="eastAsia"/>
                <w:szCs w:val="21"/>
              </w:rPr>
              <w:t>及</w:t>
            </w:r>
            <w:r>
              <w:rPr>
                <w:rFonts w:ascii="宋体" w:hAnsi="宋体" w:hint="eastAsia"/>
                <w:szCs w:val="21"/>
              </w:rPr>
              <w:t>JDG</w:t>
            </w:r>
            <w:r>
              <w:rPr>
                <w:rFonts w:ascii="宋体" w:hAnsi="宋体" w:hint="eastAsia"/>
                <w:szCs w:val="21"/>
              </w:rPr>
              <w:t>线管</w:t>
            </w:r>
          </w:p>
        </w:tc>
        <w:tc>
          <w:tcPr>
            <w:tcW w:w="3225" w:type="dxa"/>
            <w:tcBorders>
              <w:top w:val="single" w:sz="4" w:space="0" w:color="000000"/>
              <w:left w:val="nil"/>
              <w:bottom w:val="single" w:sz="4" w:space="0" w:color="000000"/>
              <w:right w:val="single" w:sz="4" w:space="0" w:color="000000"/>
            </w:tcBorders>
            <w:noWrap/>
            <w:vAlign w:val="center"/>
          </w:tcPr>
          <w:p w14:paraId="778E677D" w14:textId="77777777" w:rsidR="009A5FB0" w:rsidRDefault="00BF1721">
            <w:pPr>
              <w:widowControl/>
              <w:jc w:val="left"/>
              <w:rPr>
                <w:rFonts w:ascii="宋体" w:hAnsi="宋体"/>
                <w:szCs w:val="21"/>
              </w:rPr>
            </w:pPr>
            <w:r>
              <w:rPr>
                <w:rFonts w:ascii="宋体" w:hAnsi="宋体" w:hint="eastAsia"/>
                <w:szCs w:val="21"/>
              </w:rPr>
              <w:t>武陵源、人允、众雄</w:t>
            </w:r>
          </w:p>
        </w:tc>
        <w:tc>
          <w:tcPr>
            <w:tcW w:w="2341" w:type="dxa"/>
            <w:tcBorders>
              <w:top w:val="single" w:sz="4" w:space="0" w:color="000000"/>
              <w:left w:val="nil"/>
              <w:bottom w:val="single" w:sz="4" w:space="0" w:color="000000"/>
              <w:right w:val="single" w:sz="4" w:space="0" w:color="000000"/>
            </w:tcBorders>
            <w:noWrap/>
            <w:vAlign w:val="center"/>
          </w:tcPr>
          <w:p w14:paraId="2D252E9F" w14:textId="77777777" w:rsidR="009A5FB0" w:rsidRDefault="009A5FB0">
            <w:pPr>
              <w:widowControl/>
              <w:jc w:val="left"/>
              <w:rPr>
                <w:rFonts w:ascii="宋体" w:hAnsi="宋体"/>
                <w:szCs w:val="21"/>
              </w:rPr>
            </w:pPr>
          </w:p>
        </w:tc>
      </w:tr>
      <w:tr w:rsidR="009A5FB0" w14:paraId="275442CF"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1F4EE800"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31270C69" w14:textId="77777777" w:rsidR="009A5FB0" w:rsidRDefault="00BF1721">
            <w:pPr>
              <w:widowControl/>
              <w:jc w:val="left"/>
              <w:rPr>
                <w:rFonts w:ascii="宋体" w:hAnsi="宋体"/>
                <w:szCs w:val="21"/>
              </w:rPr>
            </w:pPr>
            <w:r>
              <w:rPr>
                <w:rFonts w:ascii="宋体" w:hAnsi="宋体" w:hint="eastAsia"/>
                <w:szCs w:val="21"/>
              </w:rPr>
              <w:t>卫浴龙头五金洁具等</w:t>
            </w:r>
          </w:p>
        </w:tc>
        <w:tc>
          <w:tcPr>
            <w:tcW w:w="3225" w:type="dxa"/>
            <w:tcBorders>
              <w:top w:val="single" w:sz="4" w:space="0" w:color="000000"/>
              <w:left w:val="nil"/>
              <w:bottom w:val="single" w:sz="4" w:space="0" w:color="000000"/>
              <w:right w:val="single" w:sz="4" w:space="0" w:color="000000"/>
            </w:tcBorders>
            <w:noWrap/>
            <w:vAlign w:val="center"/>
          </w:tcPr>
          <w:p w14:paraId="4213EBC4" w14:textId="77777777" w:rsidR="009A5FB0" w:rsidRDefault="00BF1721">
            <w:pPr>
              <w:widowControl/>
              <w:jc w:val="left"/>
              <w:rPr>
                <w:rFonts w:ascii="宋体" w:hAnsi="宋体"/>
                <w:szCs w:val="21"/>
              </w:rPr>
            </w:pPr>
            <w:r>
              <w:rPr>
                <w:rFonts w:ascii="宋体" w:hAnsi="宋体" w:hint="eastAsia"/>
                <w:szCs w:val="21"/>
              </w:rPr>
              <w:t>箭牌（</w:t>
            </w:r>
            <w:r>
              <w:rPr>
                <w:rFonts w:ascii="宋体" w:hAnsi="宋体" w:hint="eastAsia"/>
                <w:szCs w:val="21"/>
              </w:rPr>
              <w:t>ARROW</w:t>
            </w:r>
            <w:r>
              <w:rPr>
                <w:rFonts w:ascii="宋体" w:hAnsi="宋体" w:hint="eastAsia"/>
                <w:szCs w:val="21"/>
              </w:rPr>
              <w:t>）、美标、恒洁</w:t>
            </w:r>
            <w:r>
              <w:rPr>
                <w:rFonts w:ascii="宋体" w:hAnsi="宋体" w:hint="eastAsia"/>
                <w:szCs w:val="21"/>
              </w:rPr>
              <w:t>(HEGII)</w:t>
            </w:r>
          </w:p>
        </w:tc>
        <w:tc>
          <w:tcPr>
            <w:tcW w:w="2341" w:type="dxa"/>
            <w:tcBorders>
              <w:top w:val="single" w:sz="4" w:space="0" w:color="000000"/>
              <w:left w:val="nil"/>
              <w:bottom w:val="single" w:sz="4" w:space="0" w:color="000000"/>
              <w:right w:val="single" w:sz="4" w:space="0" w:color="000000"/>
            </w:tcBorders>
            <w:noWrap/>
            <w:vAlign w:val="center"/>
          </w:tcPr>
          <w:p w14:paraId="11488CF5" w14:textId="77777777" w:rsidR="009A5FB0" w:rsidRDefault="00BF1721">
            <w:pPr>
              <w:widowControl/>
              <w:jc w:val="left"/>
              <w:rPr>
                <w:rFonts w:ascii="宋体" w:hAnsi="宋体"/>
                <w:szCs w:val="21"/>
              </w:rPr>
            </w:pPr>
            <w:r>
              <w:rPr>
                <w:rFonts w:ascii="宋体" w:hAnsi="宋体" w:hint="eastAsia"/>
                <w:szCs w:val="21"/>
              </w:rPr>
              <w:t xml:space="preserve">　</w:t>
            </w:r>
          </w:p>
        </w:tc>
      </w:tr>
      <w:tr w:rsidR="009A5FB0" w14:paraId="712ABA75"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6693D4B1"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50536DCE" w14:textId="77777777" w:rsidR="009A5FB0" w:rsidRDefault="00BF1721">
            <w:pPr>
              <w:widowControl/>
              <w:jc w:val="left"/>
              <w:rPr>
                <w:rFonts w:ascii="宋体" w:hAnsi="宋体"/>
                <w:szCs w:val="21"/>
              </w:rPr>
            </w:pPr>
            <w:r>
              <w:rPr>
                <w:rFonts w:ascii="宋体" w:hAnsi="宋体" w:hint="eastAsia"/>
                <w:szCs w:val="21"/>
              </w:rPr>
              <w:t>阀门</w:t>
            </w:r>
          </w:p>
        </w:tc>
        <w:tc>
          <w:tcPr>
            <w:tcW w:w="3225" w:type="dxa"/>
            <w:tcBorders>
              <w:top w:val="single" w:sz="4" w:space="0" w:color="000000"/>
              <w:left w:val="nil"/>
              <w:bottom w:val="single" w:sz="4" w:space="0" w:color="000000"/>
              <w:right w:val="single" w:sz="4" w:space="0" w:color="000000"/>
            </w:tcBorders>
            <w:noWrap/>
            <w:vAlign w:val="center"/>
          </w:tcPr>
          <w:p w14:paraId="2BA85A12" w14:textId="77777777" w:rsidR="009A5FB0" w:rsidRDefault="00BF1721">
            <w:pPr>
              <w:widowControl/>
              <w:jc w:val="left"/>
              <w:rPr>
                <w:rFonts w:ascii="宋体" w:hAnsi="宋体"/>
                <w:szCs w:val="21"/>
              </w:rPr>
            </w:pPr>
            <w:r>
              <w:rPr>
                <w:rFonts w:ascii="宋体" w:hAnsi="宋体" w:hint="eastAsia"/>
                <w:szCs w:val="21"/>
              </w:rPr>
              <w:t>浙江埃美柯、上海冠龙、武汉大禹、宁波杰克龙</w:t>
            </w:r>
          </w:p>
        </w:tc>
        <w:tc>
          <w:tcPr>
            <w:tcW w:w="2341" w:type="dxa"/>
            <w:tcBorders>
              <w:top w:val="single" w:sz="4" w:space="0" w:color="000000"/>
              <w:left w:val="nil"/>
              <w:bottom w:val="single" w:sz="4" w:space="0" w:color="000000"/>
              <w:right w:val="single" w:sz="4" w:space="0" w:color="000000"/>
            </w:tcBorders>
            <w:noWrap/>
            <w:vAlign w:val="center"/>
          </w:tcPr>
          <w:p w14:paraId="74941D08" w14:textId="77777777" w:rsidR="009A5FB0" w:rsidRDefault="00BF1721">
            <w:pPr>
              <w:widowControl/>
              <w:jc w:val="left"/>
              <w:rPr>
                <w:rFonts w:ascii="宋体" w:hAnsi="宋体"/>
                <w:szCs w:val="21"/>
              </w:rPr>
            </w:pPr>
            <w:r>
              <w:rPr>
                <w:rFonts w:ascii="宋体" w:hAnsi="宋体" w:hint="eastAsia"/>
                <w:szCs w:val="21"/>
              </w:rPr>
              <w:t xml:space="preserve">　</w:t>
            </w:r>
          </w:p>
        </w:tc>
      </w:tr>
      <w:tr w:rsidR="009A5FB0" w14:paraId="4C3C12A2"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0F4012C4"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281CB136" w14:textId="77777777" w:rsidR="009A5FB0" w:rsidRDefault="00BF1721">
            <w:pPr>
              <w:widowControl/>
              <w:jc w:val="left"/>
              <w:rPr>
                <w:rFonts w:ascii="宋体" w:hAnsi="宋体"/>
                <w:szCs w:val="21"/>
              </w:rPr>
            </w:pPr>
            <w:r>
              <w:rPr>
                <w:rFonts w:ascii="宋体" w:hAnsi="宋体" w:hint="eastAsia"/>
                <w:szCs w:val="21"/>
              </w:rPr>
              <w:t>地漏</w:t>
            </w:r>
          </w:p>
        </w:tc>
        <w:tc>
          <w:tcPr>
            <w:tcW w:w="3225" w:type="dxa"/>
            <w:tcBorders>
              <w:top w:val="single" w:sz="4" w:space="0" w:color="000000"/>
              <w:left w:val="nil"/>
              <w:bottom w:val="single" w:sz="4" w:space="0" w:color="000000"/>
              <w:right w:val="single" w:sz="4" w:space="0" w:color="000000"/>
            </w:tcBorders>
            <w:noWrap/>
            <w:vAlign w:val="center"/>
          </w:tcPr>
          <w:p w14:paraId="6FC72D72" w14:textId="77777777" w:rsidR="009A5FB0" w:rsidRDefault="00BF1721">
            <w:pPr>
              <w:widowControl/>
              <w:jc w:val="left"/>
              <w:rPr>
                <w:rFonts w:ascii="宋体" w:hAnsi="宋体"/>
                <w:szCs w:val="21"/>
              </w:rPr>
            </w:pPr>
            <w:r>
              <w:rPr>
                <w:rFonts w:ascii="宋体" w:hAnsi="宋体" w:hint="eastAsia"/>
                <w:szCs w:val="21"/>
              </w:rPr>
              <w:t>九牧、埃美柯、潜水艇</w:t>
            </w:r>
          </w:p>
        </w:tc>
        <w:tc>
          <w:tcPr>
            <w:tcW w:w="2341" w:type="dxa"/>
            <w:tcBorders>
              <w:top w:val="single" w:sz="4" w:space="0" w:color="000000"/>
              <w:left w:val="nil"/>
              <w:bottom w:val="single" w:sz="4" w:space="0" w:color="000000"/>
              <w:right w:val="single" w:sz="4" w:space="0" w:color="000000"/>
            </w:tcBorders>
            <w:noWrap/>
            <w:vAlign w:val="center"/>
          </w:tcPr>
          <w:p w14:paraId="47275D88" w14:textId="77777777" w:rsidR="009A5FB0" w:rsidRDefault="009A5FB0">
            <w:pPr>
              <w:widowControl/>
              <w:jc w:val="left"/>
              <w:rPr>
                <w:rFonts w:ascii="宋体" w:hAnsi="宋体"/>
                <w:szCs w:val="21"/>
              </w:rPr>
            </w:pPr>
          </w:p>
        </w:tc>
      </w:tr>
      <w:tr w:rsidR="009A5FB0" w14:paraId="328E555E"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37A39DBB"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1AE6D059" w14:textId="77777777" w:rsidR="009A5FB0" w:rsidRDefault="00BF1721">
            <w:pPr>
              <w:widowControl/>
              <w:jc w:val="left"/>
              <w:rPr>
                <w:rFonts w:ascii="宋体" w:hAnsi="宋体"/>
                <w:szCs w:val="21"/>
              </w:rPr>
            </w:pPr>
            <w:r>
              <w:rPr>
                <w:rFonts w:ascii="宋体" w:hAnsi="宋体" w:hint="eastAsia"/>
                <w:szCs w:val="21"/>
              </w:rPr>
              <w:t>智能远传水表</w:t>
            </w:r>
          </w:p>
        </w:tc>
        <w:tc>
          <w:tcPr>
            <w:tcW w:w="3225" w:type="dxa"/>
            <w:tcBorders>
              <w:top w:val="single" w:sz="4" w:space="0" w:color="000000"/>
              <w:left w:val="nil"/>
              <w:bottom w:val="single" w:sz="4" w:space="0" w:color="000000"/>
              <w:right w:val="single" w:sz="4" w:space="0" w:color="000000"/>
            </w:tcBorders>
            <w:noWrap/>
            <w:vAlign w:val="center"/>
          </w:tcPr>
          <w:p w14:paraId="23D3AFC4" w14:textId="085E8840" w:rsidR="009A5FB0" w:rsidRDefault="00BF1721">
            <w:pPr>
              <w:widowControl/>
              <w:jc w:val="left"/>
              <w:rPr>
                <w:rFonts w:ascii="宋体" w:hAnsi="宋体"/>
                <w:szCs w:val="21"/>
              </w:rPr>
            </w:pPr>
            <w:r>
              <w:rPr>
                <w:rFonts w:ascii="宋体" w:hAnsi="宋体" w:hint="eastAsia"/>
                <w:szCs w:val="21"/>
              </w:rPr>
              <w:t>宁波、天罡、</w:t>
            </w:r>
            <w:r w:rsidR="002876F7">
              <w:rPr>
                <w:rFonts w:ascii="宋体" w:hAnsi="宋体" w:hint="eastAsia"/>
                <w:szCs w:val="21"/>
              </w:rPr>
              <w:t>京源</w:t>
            </w:r>
          </w:p>
        </w:tc>
        <w:tc>
          <w:tcPr>
            <w:tcW w:w="2341" w:type="dxa"/>
            <w:tcBorders>
              <w:top w:val="single" w:sz="4" w:space="0" w:color="000000"/>
              <w:left w:val="nil"/>
              <w:bottom w:val="single" w:sz="4" w:space="0" w:color="000000"/>
              <w:right w:val="single" w:sz="4" w:space="0" w:color="000000"/>
            </w:tcBorders>
            <w:noWrap/>
            <w:vAlign w:val="center"/>
          </w:tcPr>
          <w:p w14:paraId="0B0AA5FB" w14:textId="77777777" w:rsidR="009A5FB0" w:rsidRDefault="00BF1721">
            <w:pPr>
              <w:widowControl/>
              <w:jc w:val="left"/>
              <w:rPr>
                <w:rFonts w:ascii="宋体" w:hAnsi="宋体"/>
                <w:szCs w:val="21"/>
              </w:rPr>
            </w:pPr>
            <w:r>
              <w:rPr>
                <w:rFonts w:ascii="宋体" w:hAnsi="宋体" w:hint="eastAsia"/>
                <w:szCs w:val="21"/>
              </w:rPr>
              <w:t>所用设备通讯协议须符合既有节能监管平台需求，支持平台统一数据配置</w:t>
            </w:r>
          </w:p>
        </w:tc>
      </w:tr>
      <w:tr w:rsidR="009A5FB0" w14:paraId="0E3396DC"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196DC00E"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226DA8D0" w14:textId="77777777" w:rsidR="009A5FB0" w:rsidRDefault="00BF1721">
            <w:pPr>
              <w:widowControl/>
              <w:jc w:val="left"/>
              <w:rPr>
                <w:rFonts w:ascii="宋体" w:hAnsi="宋体"/>
                <w:szCs w:val="21"/>
              </w:rPr>
            </w:pPr>
            <w:r>
              <w:rPr>
                <w:rFonts w:ascii="宋体" w:hAnsi="宋体"/>
                <w:szCs w:val="21"/>
              </w:rPr>
              <w:t>单相</w:t>
            </w:r>
            <w:r>
              <w:rPr>
                <w:rFonts w:ascii="宋体" w:hAnsi="宋体" w:hint="eastAsia"/>
                <w:szCs w:val="21"/>
              </w:rPr>
              <w:t>智能电表（带定时断电）</w:t>
            </w:r>
          </w:p>
        </w:tc>
        <w:tc>
          <w:tcPr>
            <w:tcW w:w="3225" w:type="dxa"/>
            <w:tcBorders>
              <w:top w:val="single" w:sz="4" w:space="0" w:color="000000"/>
              <w:left w:val="nil"/>
              <w:bottom w:val="single" w:sz="4" w:space="0" w:color="000000"/>
              <w:right w:val="single" w:sz="4" w:space="0" w:color="000000"/>
            </w:tcBorders>
            <w:noWrap/>
            <w:vAlign w:val="center"/>
          </w:tcPr>
          <w:p w14:paraId="63F1F13A" w14:textId="1B5DEC70" w:rsidR="009A5FB0" w:rsidRDefault="00BF1721">
            <w:pPr>
              <w:widowControl/>
              <w:jc w:val="left"/>
              <w:rPr>
                <w:rFonts w:ascii="宋体" w:hAnsi="宋体"/>
                <w:szCs w:val="21"/>
              </w:rPr>
            </w:pPr>
            <w:r>
              <w:rPr>
                <w:rFonts w:ascii="宋体" w:hAnsi="宋体" w:hint="eastAsia"/>
                <w:szCs w:val="21"/>
              </w:rPr>
              <w:t>亿</w:t>
            </w:r>
            <w:r>
              <w:rPr>
                <w:rFonts w:ascii="宋体" w:hAnsi="宋体" w:hint="eastAsia"/>
                <w:szCs w:val="21"/>
              </w:rPr>
              <w:t>玛</w:t>
            </w:r>
            <w:r w:rsidR="002876F7">
              <w:rPr>
                <w:rFonts w:ascii="宋体" w:hAnsi="宋体" w:hint="eastAsia"/>
                <w:szCs w:val="21"/>
              </w:rPr>
              <w:t>、威</w:t>
            </w:r>
            <w:r w:rsidR="00EA7244">
              <w:rPr>
                <w:rFonts w:ascii="宋体" w:hAnsi="宋体" w:hint="eastAsia"/>
                <w:szCs w:val="21"/>
              </w:rPr>
              <w:t>胜</w:t>
            </w:r>
          </w:p>
        </w:tc>
        <w:tc>
          <w:tcPr>
            <w:tcW w:w="2341" w:type="dxa"/>
            <w:tcBorders>
              <w:top w:val="single" w:sz="4" w:space="0" w:color="000000"/>
              <w:left w:val="nil"/>
              <w:bottom w:val="single" w:sz="4" w:space="0" w:color="000000"/>
              <w:right w:val="single" w:sz="4" w:space="0" w:color="000000"/>
            </w:tcBorders>
            <w:noWrap/>
            <w:vAlign w:val="center"/>
          </w:tcPr>
          <w:p w14:paraId="53C02AB7" w14:textId="747016BB" w:rsidR="009A5FB0" w:rsidRDefault="00BF1721">
            <w:pPr>
              <w:widowControl/>
              <w:jc w:val="left"/>
              <w:rPr>
                <w:rFonts w:ascii="宋体" w:hAnsi="宋体"/>
                <w:szCs w:val="21"/>
              </w:rPr>
            </w:pPr>
            <w:r>
              <w:rPr>
                <w:rFonts w:ascii="宋体" w:hAnsi="宋体" w:hint="eastAsia"/>
                <w:szCs w:val="21"/>
              </w:rPr>
              <w:t>所用设备通讯协议须符合既有节能监管平台需求，</w:t>
            </w:r>
            <w:r w:rsidR="002876F7">
              <w:rPr>
                <w:rFonts w:ascii="宋体" w:hAnsi="宋体" w:hint="eastAsia"/>
                <w:szCs w:val="21"/>
              </w:rPr>
              <w:t>售电系统要求，</w:t>
            </w:r>
            <w:r>
              <w:rPr>
                <w:rFonts w:ascii="宋体" w:hAnsi="宋体" w:hint="eastAsia"/>
                <w:szCs w:val="21"/>
              </w:rPr>
              <w:t>支持平台统一数据配置</w:t>
            </w:r>
          </w:p>
        </w:tc>
      </w:tr>
      <w:tr w:rsidR="009A5FB0" w14:paraId="20AE7EA9"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6C2F2A5F"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68795E0B" w14:textId="77777777" w:rsidR="009A5FB0" w:rsidRDefault="00BF1721">
            <w:pPr>
              <w:widowControl/>
              <w:jc w:val="left"/>
              <w:rPr>
                <w:rFonts w:ascii="宋体" w:hAnsi="宋体"/>
                <w:szCs w:val="21"/>
              </w:rPr>
            </w:pPr>
            <w:r>
              <w:rPr>
                <w:rFonts w:ascii="宋体" w:hAnsi="宋体" w:hint="eastAsia"/>
                <w:szCs w:val="21"/>
              </w:rPr>
              <w:t>能耗监测子网网络控制器</w:t>
            </w:r>
          </w:p>
        </w:tc>
        <w:tc>
          <w:tcPr>
            <w:tcW w:w="3225" w:type="dxa"/>
            <w:tcBorders>
              <w:top w:val="single" w:sz="4" w:space="0" w:color="000000"/>
              <w:left w:val="nil"/>
              <w:bottom w:val="single" w:sz="4" w:space="0" w:color="000000"/>
              <w:right w:val="single" w:sz="4" w:space="0" w:color="000000"/>
            </w:tcBorders>
            <w:noWrap/>
            <w:vAlign w:val="center"/>
          </w:tcPr>
          <w:p w14:paraId="1319BC9E" w14:textId="77777777" w:rsidR="009A5FB0" w:rsidRDefault="00BF1721">
            <w:pPr>
              <w:widowControl/>
              <w:jc w:val="left"/>
              <w:rPr>
                <w:rFonts w:ascii="宋体" w:hAnsi="宋体"/>
                <w:szCs w:val="21"/>
              </w:rPr>
            </w:pPr>
            <w:r>
              <w:rPr>
                <w:rFonts w:ascii="宋体" w:hAnsi="宋体" w:hint="eastAsia"/>
                <w:szCs w:val="21"/>
              </w:rPr>
              <w:t>埃施朗、台达（</w:t>
            </w:r>
            <w:r>
              <w:rPr>
                <w:rFonts w:ascii="宋体" w:hAnsi="宋体" w:hint="eastAsia"/>
                <w:szCs w:val="21"/>
              </w:rPr>
              <w:t>LOYTEC</w:t>
            </w:r>
            <w:r>
              <w:rPr>
                <w:rFonts w:ascii="宋体" w:hAnsi="宋体" w:hint="eastAsia"/>
                <w:szCs w:val="21"/>
              </w:rPr>
              <w:t>）、西门子</w:t>
            </w:r>
          </w:p>
        </w:tc>
        <w:tc>
          <w:tcPr>
            <w:tcW w:w="2341" w:type="dxa"/>
            <w:tcBorders>
              <w:top w:val="single" w:sz="4" w:space="0" w:color="000000"/>
              <w:left w:val="nil"/>
              <w:bottom w:val="single" w:sz="4" w:space="0" w:color="000000"/>
              <w:right w:val="single" w:sz="4" w:space="0" w:color="000000"/>
            </w:tcBorders>
            <w:noWrap/>
            <w:vAlign w:val="center"/>
          </w:tcPr>
          <w:p w14:paraId="5D65AD19" w14:textId="77777777" w:rsidR="009A5FB0" w:rsidRDefault="00BF1721">
            <w:pPr>
              <w:widowControl/>
              <w:jc w:val="left"/>
              <w:rPr>
                <w:rFonts w:ascii="宋体" w:hAnsi="宋体"/>
                <w:szCs w:val="21"/>
              </w:rPr>
            </w:pPr>
            <w:r>
              <w:rPr>
                <w:rFonts w:ascii="宋体" w:hAnsi="宋体" w:hint="eastAsia"/>
                <w:szCs w:val="21"/>
              </w:rPr>
              <w:t>所用设备通讯协议须符合既有节能监管平台需求，支持平台统一数据配置</w:t>
            </w:r>
          </w:p>
        </w:tc>
      </w:tr>
      <w:tr w:rsidR="009A5FB0" w14:paraId="28D52A96"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613DE66B"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1EBD8C96" w14:textId="77777777" w:rsidR="009A5FB0" w:rsidRDefault="00BF1721">
            <w:pPr>
              <w:widowControl/>
              <w:jc w:val="left"/>
              <w:rPr>
                <w:rFonts w:ascii="宋体" w:hAnsi="宋体"/>
                <w:szCs w:val="21"/>
              </w:rPr>
            </w:pPr>
            <w:r>
              <w:rPr>
                <w:rFonts w:ascii="宋体" w:hAnsi="宋体" w:hint="eastAsia"/>
                <w:szCs w:val="21"/>
              </w:rPr>
              <w:t>能耗监测软件、水表数据采集器、采集终端、三相多功能电表、网关等</w:t>
            </w:r>
          </w:p>
        </w:tc>
        <w:tc>
          <w:tcPr>
            <w:tcW w:w="3225" w:type="dxa"/>
            <w:tcBorders>
              <w:top w:val="single" w:sz="4" w:space="0" w:color="000000"/>
              <w:left w:val="nil"/>
              <w:bottom w:val="single" w:sz="4" w:space="0" w:color="000000"/>
              <w:right w:val="single" w:sz="4" w:space="0" w:color="000000"/>
            </w:tcBorders>
            <w:noWrap/>
            <w:vAlign w:val="center"/>
          </w:tcPr>
          <w:p w14:paraId="68C717AD" w14:textId="77777777" w:rsidR="009A5FB0" w:rsidRDefault="00BF1721">
            <w:pPr>
              <w:widowControl/>
              <w:jc w:val="left"/>
              <w:rPr>
                <w:rFonts w:ascii="宋体" w:hAnsi="宋体"/>
                <w:szCs w:val="21"/>
              </w:rPr>
            </w:pPr>
            <w:r>
              <w:rPr>
                <w:rFonts w:ascii="宋体" w:hAnsi="宋体" w:hint="eastAsia"/>
                <w:szCs w:val="21"/>
              </w:rPr>
              <w:t>江苏联宏、台达（</w:t>
            </w:r>
            <w:r>
              <w:rPr>
                <w:rFonts w:ascii="宋体" w:hAnsi="宋体" w:hint="eastAsia"/>
                <w:szCs w:val="21"/>
              </w:rPr>
              <w:t>LOYTEC</w:t>
            </w:r>
            <w:r>
              <w:rPr>
                <w:rFonts w:ascii="宋体" w:hAnsi="宋体" w:hint="eastAsia"/>
                <w:szCs w:val="21"/>
              </w:rPr>
              <w:t>）、霍尼韦尔、西门子</w:t>
            </w:r>
          </w:p>
        </w:tc>
        <w:tc>
          <w:tcPr>
            <w:tcW w:w="2341" w:type="dxa"/>
            <w:tcBorders>
              <w:top w:val="single" w:sz="4" w:space="0" w:color="000000"/>
              <w:left w:val="nil"/>
              <w:bottom w:val="single" w:sz="4" w:space="0" w:color="000000"/>
              <w:right w:val="single" w:sz="4" w:space="0" w:color="000000"/>
            </w:tcBorders>
            <w:noWrap/>
            <w:vAlign w:val="center"/>
          </w:tcPr>
          <w:p w14:paraId="38E4491A" w14:textId="77777777" w:rsidR="009A5FB0" w:rsidRDefault="00BF1721">
            <w:pPr>
              <w:widowControl/>
              <w:jc w:val="left"/>
              <w:rPr>
                <w:rFonts w:ascii="宋体" w:hAnsi="宋体"/>
                <w:szCs w:val="21"/>
              </w:rPr>
            </w:pPr>
            <w:r>
              <w:rPr>
                <w:rFonts w:ascii="宋体" w:hAnsi="宋体" w:hint="eastAsia"/>
                <w:szCs w:val="21"/>
              </w:rPr>
              <w:t>所用设备通讯协议须符合既有节能监管平台需求，支持平台统一数据配置</w:t>
            </w:r>
          </w:p>
        </w:tc>
      </w:tr>
      <w:tr w:rsidR="009A5FB0" w14:paraId="3A8F038C" w14:textId="77777777">
        <w:trPr>
          <w:trHeight w:val="839"/>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14CF828E"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77D02EB1" w14:textId="77777777" w:rsidR="009A5FB0" w:rsidRDefault="00BF1721">
            <w:pPr>
              <w:widowControl/>
              <w:jc w:val="left"/>
              <w:rPr>
                <w:rFonts w:ascii="宋体" w:hAnsi="宋体"/>
                <w:szCs w:val="21"/>
              </w:rPr>
            </w:pPr>
            <w:r>
              <w:rPr>
                <w:rFonts w:ascii="宋体" w:hAnsi="宋体" w:hint="eastAsia"/>
                <w:szCs w:val="21"/>
              </w:rPr>
              <w:t>旋翼式水表</w:t>
            </w:r>
          </w:p>
        </w:tc>
        <w:tc>
          <w:tcPr>
            <w:tcW w:w="3225" w:type="dxa"/>
            <w:tcBorders>
              <w:top w:val="single" w:sz="4" w:space="0" w:color="000000"/>
              <w:left w:val="nil"/>
              <w:bottom w:val="single" w:sz="4" w:space="0" w:color="000000"/>
              <w:right w:val="single" w:sz="4" w:space="0" w:color="000000"/>
            </w:tcBorders>
            <w:noWrap/>
            <w:vAlign w:val="center"/>
          </w:tcPr>
          <w:p w14:paraId="089C237B" w14:textId="77777777" w:rsidR="009A5FB0" w:rsidRDefault="00BF1721">
            <w:pPr>
              <w:widowControl/>
              <w:jc w:val="left"/>
              <w:rPr>
                <w:rFonts w:ascii="宋体" w:hAnsi="宋体"/>
                <w:szCs w:val="21"/>
              </w:rPr>
            </w:pPr>
            <w:r>
              <w:rPr>
                <w:rFonts w:ascii="宋体" w:hAnsi="宋体" w:hint="eastAsia"/>
                <w:szCs w:val="21"/>
              </w:rPr>
              <w:t>常德、宁波、杰克龙</w:t>
            </w:r>
          </w:p>
        </w:tc>
        <w:tc>
          <w:tcPr>
            <w:tcW w:w="2341" w:type="dxa"/>
            <w:tcBorders>
              <w:top w:val="single" w:sz="4" w:space="0" w:color="000000"/>
              <w:left w:val="nil"/>
              <w:bottom w:val="single" w:sz="4" w:space="0" w:color="000000"/>
              <w:right w:val="single" w:sz="4" w:space="0" w:color="000000"/>
            </w:tcBorders>
            <w:noWrap/>
            <w:vAlign w:val="center"/>
          </w:tcPr>
          <w:p w14:paraId="6909DDCD" w14:textId="77777777" w:rsidR="009A5FB0" w:rsidRDefault="009A5FB0">
            <w:pPr>
              <w:widowControl/>
              <w:jc w:val="left"/>
              <w:rPr>
                <w:rFonts w:ascii="宋体" w:hAnsi="宋体"/>
                <w:szCs w:val="21"/>
              </w:rPr>
            </w:pPr>
          </w:p>
        </w:tc>
      </w:tr>
      <w:tr w:rsidR="009A5FB0" w14:paraId="3B8E16D4"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1B87F84A"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4A4CEDF9" w14:textId="77777777" w:rsidR="009A5FB0" w:rsidRDefault="00BF1721">
            <w:pPr>
              <w:widowControl/>
              <w:jc w:val="left"/>
              <w:rPr>
                <w:rFonts w:ascii="宋体" w:hAnsi="宋体"/>
                <w:szCs w:val="21"/>
              </w:rPr>
            </w:pPr>
            <w:r>
              <w:rPr>
                <w:rFonts w:ascii="宋体" w:hAnsi="宋体" w:hint="eastAsia"/>
                <w:szCs w:val="21"/>
              </w:rPr>
              <w:t>给水泵</w:t>
            </w:r>
          </w:p>
        </w:tc>
        <w:tc>
          <w:tcPr>
            <w:tcW w:w="3225" w:type="dxa"/>
            <w:tcBorders>
              <w:top w:val="single" w:sz="4" w:space="0" w:color="000000"/>
              <w:left w:val="nil"/>
              <w:bottom w:val="single" w:sz="4" w:space="0" w:color="000000"/>
              <w:right w:val="single" w:sz="4" w:space="0" w:color="000000"/>
            </w:tcBorders>
            <w:noWrap/>
            <w:vAlign w:val="center"/>
          </w:tcPr>
          <w:p w14:paraId="0452410D" w14:textId="77777777" w:rsidR="009A5FB0" w:rsidRDefault="00BF1721">
            <w:pPr>
              <w:widowControl/>
              <w:jc w:val="left"/>
              <w:rPr>
                <w:rFonts w:ascii="宋体" w:hAnsi="宋体"/>
                <w:szCs w:val="21"/>
              </w:rPr>
            </w:pPr>
            <w:r>
              <w:rPr>
                <w:rFonts w:ascii="宋体" w:hAnsi="宋体" w:hint="eastAsia"/>
                <w:szCs w:val="21"/>
              </w:rPr>
              <w:t>德国威乐</w:t>
            </w:r>
            <w:r>
              <w:rPr>
                <w:rFonts w:ascii="宋体" w:hAnsi="宋体" w:hint="eastAsia"/>
                <w:szCs w:val="21"/>
              </w:rPr>
              <w:t> (WILO</w:t>
            </w:r>
            <w:r>
              <w:rPr>
                <w:rFonts w:ascii="宋体" w:hAnsi="宋体" w:hint="eastAsia"/>
                <w:szCs w:val="21"/>
              </w:rPr>
              <w:t>）、格兰富、</w:t>
            </w:r>
            <w:r>
              <w:rPr>
                <w:rFonts w:ascii="宋体" w:hAnsi="宋体" w:hint="eastAsia"/>
                <w:szCs w:val="21"/>
              </w:rPr>
              <w:t>Xylem</w:t>
            </w:r>
            <w:r>
              <w:rPr>
                <w:rFonts w:ascii="宋体" w:hAnsi="宋体" w:hint="eastAsia"/>
                <w:szCs w:val="21"/>
              </w:rPr>
              <w:t>赛莱默（原美国</w:t>
            </w:r>
            <w:r>
              <w:rPr>
                <w:rFonts w:ascii="宋体" w:hAnsi="宋体" w:hint="eastAsia"/>
                <w:szCs w:val="21"/>
              </w:rPr>
              <w:t>ITT</w:t>
            </w:r>
            <w:r>
              <w:rPr>
                <w:rFonts w:ascii="宋体" w:hAnsi="宋体" w:hint="eastAsia"/>
                <w:szCs w:val="21"/>
              </w:rPr>
              <w:t>）</w:t>
            </w:r>
          </w:p>
        </w:tc>
        <w:tc>
          <w:tcPr>
            <w:tcW w:w="2341" w:type="dxa"/>
            <w:tcBorders>
              <w:top w:val="single" w:sz="4" w:space="0" w:color="000000"/>
              <w:left w:val="nil"/>
              <w:bottom w:val="single" w:sz="4" w:space="0" w:color="000000"/>
              <w:right w:val="single" w:sz="4" w:space="0" w:color="000000"/>
            </w:tcBorders>
            <w:noWrap/>
            <w:vAlign w:val="center"/>
          </w:tcPr>
          <w:p w14:paraId="62965029" w14:textId="77777777" w:rsidR="009A5FB0" w:rsidRDefault="009A5FB0">
            <w:pPr>
              <w:widowControl/>
              <w:jc w:val="left"/>
              <w:rPr>
                <w:rFonts w:ascii="宋体" w:hAnsi="宋体"/>
                <w:szCs w:val="21"/>
              </w:rPr>
            </w:pPr>
          </w:p>
        </w:tc>
      </w:tr>
      <w:tr w:rsidR="009A5FB0" w14:paraId="1D9DE2F3" w14:textId="77777777">
        <w:trPr>
          <w:trHeight w:val="704"/>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550E8600"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293796AD" w14:textId="77777777" w:rsidR="009A5FB0" w:rsidRDefault="00BF1721">
            <w:pPr>
              <w:widowControl/>
              <w:jc w:val="left"/>
              <w:rPr>
                <w:rFonts w:ascii="宋体" w:hAnsi="宋体"/>
                <w:szCs w:val="21"/>
              </w:rPr>
            </w:pPr>
            <w:r>
              <w:rPr>
                <w:rFonts w:ascii="宋体" w:hAnsi="宋体" w:hint="eastAsia"/>
                <w:szCs w:val="21"/>
              </w:rPr>
              <w:t>消防水泵、稳压设备、潜污泵</w:t>
            </w:r>
          </w:p>
        </w:tc>
        <w:tc>
          <w:tcPr>
            <w:tcW w:w="3225" w:type="dxa"/>
            <w:tcBorders>
              <w:top w:val="single" w:sz="4" w:space="0" w:color="000000"/>
              <w:left w:val="nil"/>
              <w:bottom w:val="single" w:sz="4" w:space="0" w:color="000000"/>
              <w:right w:val="single" w:sz="4" w:space="0" w:color="000000"/>
            </w:tcBorders>
            <w:noWrap/>
            <w:vAlign w:val="center"/>
          </w:tcPr>
          <w:p w14:paraId="549C3B2B" w14:textId="77777777" w:rsidR="009A5FB0" w:rsidRDefault="00BF1721">
            <w:pPr>
              <w:widowControl/>
              <w:jc w:val="left"/>
              <w:rPr>
                <w:rFonts w:ascii="宋体" w:hAnsi="宋体"/>
                <w:szCs w:val="21"/>
              </w:rPr>
            </w:pPr>
            <w:r>
              <w:rPr>
                <w:rFonts w:ascii="宋体" w:hAnsi="宋体" w:hint="eastAsia"/>
                <w:szCs w:val="21"/>
              </w:rPr>
              <w:t>上海熊猫、上海凯泉、上海东方、上海连成</w:t>
            </w:r>
          </w:p>
        </w:tc>
        <w:tc>
          <w:tcPr>
            <w:tcW w:w="2341" w:type="dxa"/>
            <w:tcBorders>
              <w:top w:val="single" w:sz="4" w:space="0" w:color="000000"/>
              <w:left w:val="nil"/>
              <w:bottom w:val="single" w:sz="4" w:space="0" w:color="000000"/>
              <w:right w:val="single" w:sz="4" w:space="0" w:color="000000"/>
            </w:tcBorders>
            <w:noWrap/>
            <w:vAlign w:val="center"/>
          </w:tcPr>
          <w:p w14:paraId="0896D60A" w14:textId="77777777" w:rsidR="009A5FB0" w:rsidRDefault="009A5FB0">
            <w:pPr>
              <w:widowControl/>
              <w:jc w:val="left"/>
              <w:rPr>
                <w:rFonts w:ascii="宋体" w:hAnsi="宋体"/>
                <w:szCs w:val="21"/>
              </w:rPr>
            </w:pPr>
          </w:p>
        </w:tc>
      </w:tr>
      <w:tr w:rsidR="009A5FB0" w14:paraId="4F2D569C"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4D184949"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37C05A86" w14:textId="77777777" w:rsidR="009A5FB0" w:rsidRDefault="00BF1721">
            <w:pPr>
              <w:widowControl/>
              <w:jc w:val="left"/>
              <w:rPr>
                <w:rFonts w:ascii="宋体" w:hAnsi="宋体"/>
                <w:szCs w:val="21"/>
              </w:rPr>
            </w:pPr>
            <w:r>
              <w:rPr>
                <w:rFonts w:ascii="宋体" w:hAnsi="宋体" w:hint="eastAsia"/>
                <w:szCs w:val="21"/>
              </w:rPr>
              <w:t>橡胶软接头</w:t>
            </w:r>
          </w:p>
        </w:tc>
        <w:tc>
          <w:tcPr>
            <w:tcW w:w="3225" w:type="dxa"/>
            <w:tcBorders>
              <w:top w:val="single" w:sz="4" w:space="0" w:color="000000"/>
              <w:left w:val="nil"/>
              <w:bottom w:val="single" w:sz="4" w:space="0" w:color="000000"/>
              <w:right w:val="single" w:sz="4" w:space="0" w:color="000000"/>
            </w:tcBorders>
            <w:noWrap/>
            <w:vAlign w:val="center"/>
          </w:tcPr>
          <w:p w14:paraId="695D9AD2" w14:textId="77777777" w:rsidR="009A5FB0" w:rsidRDefault="00BF1721">
            <w:pPr>
              <w:widowControl/>
              <w:jc w:val="left"/>
              <w:rPr>
                <w:rFonts w:ascii="宋体" w:hAnsi="宋体"/>
                <w:szCs w:val="21"/>
              </w:rPr>
            </w:pPr>
            <w:r>
              <w:rPr>
                <w:rFonts w:ascii="宋体" w:hAnsi="宋体" w:hint="eastAsia"/>
                <w:szCs w:val="21"/>
              </w:rPr>
              <w:t>精工、松江、盾安</w:t>
            </w:r>
          </w:p>
        </w:tc>
        <w:tc>
          <w:tcPr>
            <w:tcW w:w="2341" w:type="dxa"/>
            <w:tcBorders>
              <w:top w:val="single" w:sz="4" w:space="0" w:color="000000"/>
              <w:left w:val="nil"/>
              <w:bottom w:val="single" w:sz="4" w:space="0" w:color="000000"/>
              <w:right w:val="single" w:sz="4" w:space="0" w:color="000000"/>
            </w:tcBorders>
            <w:noWrap/>
            <w:vAlign w:val="center"/>
          </w:tcPr>
          <w:p w14:paraId="470969D1" w14:textId="77777777" w:rsidR="009A5FB0" w:rsidRDefault="009A5FB0">
            <w:pPr>
              <w:widowControl/>
              <w:jc w:val="left"/>
              <w:rPr>
                <w:rFonts w:ascii="宋体" w:hAnsi="宋体"/>
                <w:szCs w:val="21"/>
              </w:rPr>
            </w:pPr>
          </w:p>
        </w:tc>
      </w:tr>
      <w:tr w:rsidR="009A5FB0" w14:paraId="2A000D29"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196076CA"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24B9EE3D" w14:textId="77777777" w:rsidR="009A5FB0" w:rsidRDefault="00BF1721">
            <w:pPr>
              <w:widowControl/>
              <w:jc w:val="left"/>
              <w:rPr>
                <w:rFonts w:ascii="宋体" w:hAnsi="宋体"/>
                <w:szCs w:val="21"/>
              </w:rPr>
            </w:pPr>
            <w:r>
              <w:rPr>
                <w:rFonts w:ascii="宋体" w:hAnsi="宋体" w:hint="eastAsia"/>
                <w:szCs w:val="21"/>
              </w:rPr>
              <w:t>水箱</w:t>
            </w:r>
          </w:p>
        </w:tc>
        <w:tc>
          <w:tcPr>
            <w:tcW w:w="3225" w:type="dxa"/>
            <w:tcBorders>
              <w:top w:val="single" w:sz="4" w:space="0" w:color="000000"/>
              <w:left w:val="nil"/>
              <w:bottom w:val="single" w:sz="4" w:space="0" w:color="000000"/>
              <w:right w:val="single" w:sz="4" w:space="0" w:color="000000"/>
            </w:tcBorders>
            <w:noWrap/>
            <w:vAlign w:val="center"/>
          </w:tcPr>
          <w:p w14:paraId="0BF55F3F" w14:textId="77777777" w:rsidR="009A5FB0" w:rsidRDefault="00BF1721">
            <w:pPr>
              <w:widowControl/>
              <w:jc w:val="left"/>
              <w:rPr>
                <w:rFonts w:ascii="宋体" w:hAnsi="宋体"/>
                <w:szCs w:val="21"/>
              </w:rPr>
            </w:pPr>
            <w:r>
              <w:rPr>
                <w:rFonts w:ascii="宋体" w:hAnsi="宋体" w:hint="eastAsia"/>
                <w:szCs w:val="21"/>
              </w:rPr>
              <w:t>湖南金龙、湖南欧朗、湖南华振</w:t>
            </w:r>
          </w:p>
        </w:tc>
        <w:tc>
          <w:tcPr>
            <w:tcW w:w="2341" w:type="dxa"/>
            <w:tcBorders>
              <w:top w:val="single" w:sz="4" w:space="0" w:color="000000"/>
              <w:left w:val="nil"/>
              <w:bottom w:val="single" w:sz="4" w:space="0" w:color="000000"/>
              <w:right w:val="single" w:sz="4" w:space="0" w:color="000000"/>
            </w:tcBorders>
            <w:noWrap/>
            <w:vAlign w:val="center"/>
          </w:tcPr>
          <w:p w14:paraId="5F53B97E" w14:textId="77777777" w:rsidR="009A5FB0" w:rsidRDefault="009A5FB0">
            <w:pPr>
              <w:widowControl/>
              <w:jc w:val="left"/>
              <w:rPr>
                <w:rFonts w:ascii="宋体" w:hAnsi="宋体"/>
                <w:szCs w:val="21"/>
              </w:rPr>
            </w:pPr>
          </w:p>
        </w:tc>
      </w:tr>
      <w:tr w:rsidR="009A5FB0" w14:paraId="5BEB7593"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5F05B76F"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795AF97C" w14:textId="77777777" w:rsidR="009A5FB0" w:rsidRDefault="00BF1721">
            <w:pPr>
              <w:widowControl/>
              <w:jc w:val="left"/>
              <w:rPr>
                <w:rFonts w:ascii="宋体" w:hAnsi="宋体"/>
                <w:szCs w:val="21"/>
              </w:rPr>
            </w:pPr>
            <w:r>
              <w:rPr>
                <w:rFonts w:ascii="宋体" w:hAnsi="宋体" w:hint="eastAsia"/>
                <w:szCs w:val="21"/>
              </w:rPr>
              <w:t>通风设备</w:t>
            </w:r>
          </w:p>
        </w:tc>
        <w:tc>
          <w:tcPr>
            <w:tcW w:w="3225" w:type="dxa"/>
            <w:tcBorders>
              <w:top w:val="single" w:sz="4" w:space="0" w:color="000000"/>
              <w:left w:val="nil"/>
              <w:bottom w:val="single" w:sz="4" w:space="0" w:color="000000"/>
              <w:right w:val="single" w:sz="4" w:space="0" w:color="000000"/>
            </w:tcBorders>
            <w:noWrap/>
            <w:vAlign w:val="center"/>
          </w:tcPr>
          <w:p w14:paraId="3221F3EC" w14:textId="77777777" w:rsidR="009A5FB0" w:rsidRDefault="00BF1721">
            <w:pPr>
              <w:widowControl/>
              <w:jc w:val="left"/>
              <w:rPr>
                <w:rFonts w:ascii="宋体" w:hAnsi="宋体"/>
                <w:szCs w:val="21"/>
              </w:rPr>
            </w:pPr>
            <w:r>
              <w:rPr>
                <w:rFonts w:ascii="宋体" w:hAnsi="宋体" w:hint="eastAsia"/>
                <w:szCs w:val="21"/>
              </w:rPr>
              <w:t>中泰、鑫永生、鑫宏源</w:t>
            </w:r>
          </w:p>
        </w:tc>
        <w:tc>
          <w:tcPr>
            <w:tcW w:w="2341" w:type="dxa"/>
            <w:tcBorders>
              <w:top w:val="single" w:sz="4" w:space="0" w:color="000000"/>
              <w:left w:val="nil"/>
              <w:bottom w:val="single" w:sz="4" w:space="0" w:color="000000"/>
              <w:right w:val="single" w:sz="4" w:space="0" w:color="000000"/>
            </w:tcBorders>
            <w:noWrap/>
            <w:vAlign w:val="center"/>
          </w:tcPr>
          <w:p w14:paraId="5B977189" w14:textId="77777777" w:rsidR="009A5FB0" w:rsidRDefault="009A5FB0">
            <w:pPr>
              <w:widowControl/>
              <w:jc w:val="left"/>
              <w:rPr>
                <w:rFonts w:ascii="宋体" w:hAnsi="宋体"/>
                <w:szCs w:val="21"/>
              </w:rPr>
            </w:pPr>
          </w:p>
        </w:tc>
      </w:tr>
      <w:tr w:rsidR="009A5FB0" w14:paraId="4F49ED60"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730A7C50"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74500930" w14:textId="77777777" w:rsidR="009A5FB0" w:rsidRDefault="00BF1721">
            <w:pPr>
              <w:widowControl/>
              <w:jc w:val="left"/>
              <w:rPr>
                <w:rFonts w:ascii="宋体" w:hAnsi="宋体"/>
                <w:szCs w:val="21"/>
              </w:rPr>
            </w:pPr>
            <w:r>
              <w:rPr>
                <w:rFonts w:ascii="宋体" w:hAnsi="宋体" w:hint="eastAsia"/>
                <w:szCs w:val="21"/>
              </w:rPr>
              <w:t>CO</w:t>
            </w:r>
            <w:r>
              <w:rPr>
                <w:rFonts w:ascii="宋体" w:hAnsi="宋体" w:hint="eastAsia"/>
                <w:szCs w:val="21"/>
              </w:rPr>
              <w:t>探测系统</w:t>
            </w:r>
          </w:p>
        </w:tc>
        <w:tc>
          <w:tcPr>
            <w:tcW w:w="3225" w:type="dxa"/>
            <w:tcBorders>
              <w:top w:val="single" w:sz="4" w:space="0" w:color="000000"/>
              <w:left w:val="nil"/>
              <w:bottom w:val="single" w:sz="4" w:space="0" w:color="000000"/>
              <w:right w:val="single" w:sz="4" w:space="0" w:color="000000"/>
            </w:tcBorders>
            <w:noWrap/>
            <w:vAlign w:val="center"/>
          </w:tcPr>
          <w:p w14:paraId="3D7D67A8" w14:textId="77777777" w:rsidR="009A5FB0" w:rsidRDefault="00BF1721">
            <w:pPr>
              <w:widowControl/>
              <w:jc w:val="left"/>
              <w:rPr>
                <w:rFonts w:ascii="宋体" w:hAnsi="宋体"/>
                <w:szCs w:val="21"/>
              </w:rPr>
            </w:pPr>
            <w:r>
              <w:rPr>
                <w:rFonts w:ascii="宋体" w:hAnsi="宋体" w:hint="eastAsia"/>
                <w:szCs w:val="21"/>
              </w:rPr>
              <w:t>达国标优质</w:t>
            </w:r>
          </w:p>
        </w:tc>
        <w:tc>
          <w:tcPr>
            <w:tcW w:w="2341" w:type="dxa"/>
            <w:tcBorders>
              <w:top w:val="single" w:sz="4" w:space="0" w:color="000000"/>
              <w:left w:val="nil"/>
              <w:bottom w:val="single" w:sz="4" w:space="0" w:color="000000"/>
              <w:right w:val="single" w:sz="4" w:space="0" w:color="000000"/>
            </w:tcBorders>
            <w:noWrap/>
            <w:vAlign w:val="center"/>
          </w:tcPr>
          <w:p w14:paraId="0EFE5D32" w14:textId="77777777" w:rsidR="009A5FB0" w:rsidRDefault="009A5FB0">
            <w:pPr>
              <w:widowControl/>
              <w:jc w:val="left"/>
              <w:rPr>
                <w:rFonts w:ascii="宋体" w:hAnsi="宋体"/>
                <w:szCs w:val="21"/>
              </w:rPr>
            </w:pPr>
          </w:p>
        </w:tc>
      </w:tr>
      <w:tr w:rsidR="009A5FB0" w14:paraId="09AD2C65"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62246E24"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2AA234FE" w14:textId="77777777" w:rsidR="009A5FB0" w:rsidRDefault="00BF1721">
            <w:pPr>
              <w:widowControl/>
              <w:jc w:val="left"/>
              <w:rPr>
                <w:rFonts w:ascii="宋体" w:hAnsi="宋体"/>
                <w:szCs w:val="21"/>
              </w:rPr>
            </w:pPr>
            <w:r>
              <w:rPr>
                <w:rFonts w:ascii="宋体" w:hAnsi="宋体" w:hint="eastAsia"/>
                <w:szCs w:val="21"/>
              </w:rPr>
              <w:t>桥架</w:t>
            </w:r>
          </w:p>
        </w:tc>
        <w:tc>
          <w:tcPr>
            <w:tcW w:w="3225" w:type="dxa"/>
            <w:tcBorders>
              <w:top w:val="single" w:sz="4" w:space="0" w:color="000000"/>
              <w:left w:val="nil"/>
              <w:bottom w:val="single" w:sz="4" w:space="0" w:color="000000"/>
              <w:right w:val="single" w:sz="4" w:space="0" w:color="000000"/>
            </w:tcBorders>
            <w:noWrap/>
            <w:vAlign w:val="center"/>
          </w:tcPr>
          <w:p w14:paraId="2BD7CCEA" w14:textId="77777777" w:rsidR="009A5FB0" w:rsidRDefault="00BF1721">
            <w:pPr>
              <w:widowControl/>
              <w:jc w:val="left"/>
              <w:rPr>
                <w:rFonts w:ascii="宋体" w:hAnsi="宋体"/>
                <w:szCs w:val="21"/>
              </w:rPr>
            </w:pPr>
            <w:r>
              <w:rPr>
                <w:rFonts w:ascii="宋体" w:hAnsi="宋体" w:hint="eastAsia"/>
                <w:szCs w:val="21"/>
              </w:rPr>
              <w:t>亚明、人允、众雄、振明</w:t>
            </w:r>
          </w:p>
        </w:tc>
        <w:tc>
          <w:tcPr>
            <w:tcW w:w="2341" w:type="dxa"/>
            <w:tcBorders>
              <w:top w:val="single" w:sz="4" w:space="0" w:color="000000"/>
              <w:left w:val="nil"/>
              <w:bottom w:val="single" w:sz="4" w:space="0" w:color="000000"/>
              <w:right w:val="single" w:sz="4" w:space="0" w:color="000000"/>
            </w:tcBorders>
            <w:noWrap/>
            <w:vAlign w:val="center"/>
          </w:tcPr>
          <w:p w14:paraId="10DD0248" w14:textId="77777777" w:rsidR="009A5FB0" w:rsidRDefault="00BF1721">
            <w:pPr>
              <w:widowControl/>
              <w:jc w:val="left"/>
              <w:rPr>
                <w:rFonts w:ascii="宋体" w:hAnsi="宋体"/>
                <w:szCs w:val="21"/>
              </w:rPr>
            </w:pPr>
            <w:r>
              <w:rPr>
                <w:rFonts w:ascii="宋体" w:hAnsi="宋体" w:hint="eastAsia"/>
                <w:szCs w:val="21"/>
              </w:rPr>
              <w:t xml:space="preserve">　国标厚度</w:t>
            </w:r>
          </w:p>
        </w:tc>
      </w:tr>
      <w:tr w:rsidR="009A5FB0" w14:paraId="0DC43A05"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538CE6EC"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5F83C978" w14:textId="77777777" w:rsidR="009A5FB0" w:rsidRDefault="00BF1721">
            <w:pPr>
              <w:widowControl/>
              <w:jc w:val="left"/>
              <w:rPr>
                <w:rFonts w:ascii="宋体" w:hAnsi="宋体"/>
                <w:szCs w:val="21"/>
              </w:rPr>
            </w:pPr>
            <w:r>
              <w:rPr>
                <w:rFonts w:ascii="宋体" w:hAnsi="宋体" w:hint="eastAsia"/>
                <w:szCs w:val="21"/>
              </w:rPr>
              <w:t>母线槽</w:t>
            </w:r>
          </w:p>
        </w:tc>
        <w:tc>
          <w:tcPr>
            <w:tcW w:w="3225" w:type="dxa"/>
            <w:tcBorders>
              <w:top w:val="single" w:sz="4" w:space="0" w:color="000000"/>
              <w:left w:val="nil"/>
              <w:bottom w:val="single" w:sz="4" w:space="0" w:color="000000"/>
              <w:right w:val="single" w:sz="4" w:space="0" w:color="000000"/>
            </w:tcBorders>
            <w:noWrap/>
            <w:vAlign w:val="center"/>
          </w:tcPr>
          <w:p w14:paraId="5DD4E359" w14:textId="77777777" w:rsidR="009A5FB0" w:rsidRDefault="00BF1721">
            <w:pPr>
              <w:widowControl/>
              <w:jc w:val="left"/>
              <w:rPr>
                <w:rFonts w:ascii="宋体" w:hAnsi="宋体"/>
                <w:szCs w:val="21"/>
              </w:rPr>
            </w:pPr>
            <w:r>
              <w:rPr>
                <w:rFonts w:ascii="宋体" w:hAnsi="宋体" w:hint="eastAsia"/>
                <w:szCs w:val="21"/>
              </w:rPr>
              <w:t>亚明、人允、众雄</w:t>
            </w:r>
          </w:p>
        </w:tc>
        <w:tc>
          <w:tcPr>
            <w:tcW w:w="2341" w:type="dxa"/>
            <w:tcBorders>
              <w:top w:val="single" w:sz="4" w:space="0" w:color="000000"/>
              <w:left w:val="nil"/>
              <w:bottom w:val="single" w:sz="4" w:space="0" w:color="000000"/>
              <w:right w:val="single" w:sz="4" w:space="0" w:color="000000"/>
            </w:tcBorders>
            <w:noWrap/>
            <w:vAlign w:val="center"/>
          </w:tcPr>
          <w:p w14:paraId="4B22B69B" w14:textId="77777777" w:rsidR="009A5FB0" w:rsidRDefault="009A5FB0">
            <w:pPr>
              <w:widowControl/>
              <w:jc w:val="left"/>
              <w:rPr>
                <w:rFonts w:ascii="宋体" w:hAnsi="宋体"/>
                <w:szCs w:val="21"/>
              </w:rPr>
            </w:pPr>
          </w:p>
        </w:tc>
      </w:tr>
      <w:tr w:rsidR="009A5FB0" w14:paraId="1E97BB5D"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3BF27FE6"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6121693A" w14:textId="77777777" w:rsidR="009A5FB0" w:rsidRDefault="00BF1721">
            <w:pPr>
              <w:widowControl/>
              <w:jc w:val="left"/>
              <w:rPr>
                <w:rFonts w:ascii="宋体" w:hAnsi="宋体"/>
                <w:szCs w:val="21"/>
              </w:rPr>
            </w:pPr>
            <w:r>
              <w:rPr>
                <w:rFonts w:ascii="宋体" w:hAnsi="宋体" w:hint="eastAsia"/>
                <w:szCs w:val="21"/>
              </w:rPr>
              <w:t>电线、电缆</w:t>
            </w:r>
          </w:p>
        </w:tc>
        <w:tc>
          <w:tcPr>
            <w:tcW w:w="3225" w:type="dxa"/>
            <w:tcBorders>
              <w:top w:val="single" w:sz="4" w:space="0" w:color="000000"/>
              <w:left w:val="nil"/>
              <w:bottom w:val="single" w:sz="4" w:space="0" w:color="000000"/>
              <w:right w:val="single" w:sz="4" w:space="0" w:color="000000"/>
            </w:tcBorders>
            <w:noWrap/>
            <w:vAlign w:val="center"/>
          </w:tcPr>
          <w:p w14:paraId="59CECBA2" w14:textId="77777777" w:rsidR="009A5FB0" w:rsidRDefault="00BF1721">
            <w:pPr>
              <w:widowControl/>
              <w:jc w:val="left"/>
              <w:rPr>
                <w:rFonts w:ascii="宋体" w:hAnsi="宋体"/>
                <w:szCs w:val="21"/>
              </w:rPr>
            </w:pPr>
            <w:r>
              <w:rPr>
                <w:rFonts w:ascii="宋体" w:hAnsi="宋体" w:hint="eastAsia"/>
                <w:szCs w:val="21"/>
              </w:rPr>
              <w:t>金杯、恒飞、金龙</w:t>
            </w:r>
          </w:p>
        </w:tc>
        <w:tc>
          <w:tcPr>
            <w:tcW w:w="2341" w:type="dxa"/>
            <w:tcBorders>
              <w:top w:val="single" w:sz="4" w:space="0" w:color="000000"/>
              <w:left w:val="nil"/>
              <w:bottom w:val="single" w:sz="4" w:space="0" w:color="000000"/>
              <w:right w:val="single" w:sz="4" w:space="0" w:color="000000"/>
            </w:tcBorders>
            <w:noWrap/>
            <w:vAlign w:val="center"/>
          </w:tcPr>
          <w:p w14:paraId="6D66DF77" w14:textId="77777777" w:rsidR="009A5FB0" w:rsidRDefault="00BF1721">
            <w:pPr>
              <w:widowControl/>
              <w:jc w:val="left"/>
              <w:rPr>
                <w:rFonts w:ascii="宋体" w:hAnsi="宋体"/>
                <w:szCs w:val="21"/>
              </w:rPr>
            </w:pPr>
            <w:r>
              <w:rPr>
                <w:rFonts w:ascii="宋体" w:hAnsi="宋体" w:hint="eastAsia"/>
                <w:szCs w:val="21"/>
              </w:rPr>
              <w:t xml:space="preserve">　</w:t>
            </w:r>
          </w:p>
        </w:tc>
      </w:tr>
      <w:tr w:rsidR="009A5FB0" w14:paraId="48F9274F"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3DFB9E40"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78F2D151" w14:textId="77777777" w:rsidR="009A5FB0" w:rsidRDefault="00BF1721">
            <w:pPr>
              <w:widowControl/>
              <w:jc w:val="left"/>
              <w:rPr>
                <w:rFonts w:ascii="宋体" w:hAnsi="宋体"/>
                <w:szCs w:val="21"/>
              </w:rPr>
            </w:pPr>
            <w:r>
              <w:rPr>
                <w:rFonts w:ascii="宋体" w:hAnsi="宋体" w:hint="eastAsia"/>
                <w:szCs w:val="21"/>
              </w:rPr>
              <w:t>插座、开关</w:t>
            </w:r>
          </w:p>
        </w:tc>
        <w:tc>
          <w:tcPr>
            <w:tcW w:w="3225" w:type="dxa"/>
            <w:tcBorders>
              <w:top w:val="single" w:sz="4" w:space="0" w:color="000000"/>
              <w:left w:val="nil"/>
              <w:bottom w:val="single" w:sz="4" w:space="0" w:color="000000"/>
              <w:right w:val="single" w:sz="4" w:space="0" w:color="000000"/>
            </w:tcBorders>
            <w:noWrap/>
            <w:vAlign w:val="center"/>
          </w:tcPr>
          <w:p w14:paraId="165508FD" w14:textId="77777777" w:rsidR="009A5FB0" w:rsidRDefault="00BF1721">
            <w:pPr>
              <w:widowControl/>
              <w:jc w:val="left"/>
              <w:rPr>
                <w:rFonts w:ascii="宋体" w:hAnsi="宋体"/>
                <w:szCs w:val="21"/>
              </w:rPr>
            </w:pPr>
            <w:r>
              <w:rPr>
                <w:rFonts w:ascii="宋体" w:hAnsi="宋体" w:hint="eastAsia"/>
                <w:szCs w:val="21"/>
              </w:rPr>
              <w:t>TCL</w:t>
            </w:r>
            <w:r>
              <w:rPr>
                <w:rFonts w:ascii="宋体" w:hAnsi="宋体" w:hint="eastAsia"/>
                <w:szCs w:val="21"/>
              </w:rPr>
              <w:t>、朗能、施耐德、公牛</w:t>
            </w:r>
          </w:p>
        </w:tc>
        <w:tc>
          <w:tcPr>
            <w:tcW w:w="2341" w:type="dxa"/>
            <w:tcBorders>
              <w:top w:val="single" w:sz="4" w:space="0" w:color="000000"/>
              <w:left w:val="nil"/>
              <w:bottom w:val="single" w:sz="4" w:space="0" w:color="000000"/>
              <w:right w:val="single" w:sz="4" w:space="0" w:color="000000"/>
            </w:tcBorders>
            <w:noWrap/>
            <w:vAlign w:val="center"/>
          </w:tcPr>
          <w:p w14:paraId="57468F6D" w14:textId="77777777" w:rsidR="009A5FB0" w:rsidRDefault="00BF1721">
            <w:pPr>
              <w:widowControl/>
              <w:jc w:val="left"/>
              <w:rPr>
                <w:rFonts w:ascii="宋体" w:hAnsi="宋体"/>
                <w:szCs w:val="21"/>
              </w:rPr>
            </w:pPr>
            <w:r>
              <w:rPr>
                <w:rFonts w:ascii="宋体" w:hAnsi="宋体" w:hint="eastAsia"/>
                <w:szCs w:val="21"/>
              </w:rPr>
              <w:t xml:space="preserve">　中高档系列</w:t>
            </w:r>
          </w:p>
        </w:tc>
      </w:tr>
      <w:tr w:rsidR="009A5FB0" w14:paraId="1B64F37C"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1965CBF5"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714E29B4" w14:textId="77777777" w:rsidR="009A5FB0" w:rsidRDefault="00BF1721">
            <w:pPr>
              <w:widowControl/>
              <w:jc w:val="left"/>
              <w:rPr>
                <w:rFonts w:ascii="宋体" w:hAnsi="宋体"/>
                <w:szCs w:val="21"/>
              </w:rPr>
            </w:pPr>
            <w:r>
              <w:rPr>
                <w:rFonts w:ascii="宋体" w:hAnsi="宋体" w:hint="eastAsia"/>
                <w:szCs w:val="21"/>
              </w:rPr>
              <w:t>配电箱元器件</w:t>
            </w:r>
          </w:p>
        </w:tc>
        <w:tc>
          <w:tcPr>
            <w:tcW w:w="3225" w:type="dxa"/>
            <w:tcBorders>
              <w:top w:val="single" w:sz="4" w:space="0" w:color="000000"/>
              <w:left w:val="nil"/>
              <w:bottom w:val="single" w:sz="4" w:space="0" w:color="000000"/>
              <w:right w:val="single" w:sz="4" w:space="0" w:color="000000"/>
            </w:tcBorders>
            <w:noWrap/>
            <w:vAlign w:val="center"/>
          </w:tcPr>
          <w:p w14:paraId="5EA2C4F7" w14:textId="77777777" w:rsidR="009A5FB0" w:rsidRDefault="00BF1721">
            <w:pPr>
              <w:widowControl/>
              <w:jc w:val="left"/>
              <w:rPr>
                <w:rFonts w:ascii="宋体" w:hAnsi="宋体"/>
                <w:szCs w:val="21"/>
              </w:rPr>
            </w:pPr>
            <w:r>
              <w:rPr>
                <w:rFonts w:ascii="宋体" w:hAnsi="宋体" w:hint="eastAsia"/>
                <w:szCs w:val="21"/>
              </w:rPr>
              <w:t>ABB</w:t>
            </w:r>
            <w:r>
              <w:rPr>
                <w:rFonts w:ascii="宋体" w:hAnsi="宋体" w:hint="eastAsia"/>
                <w:szCs w:val="21"/>
              </w:rPr>
              <w:t>、施耐德（</w:t>
            </w:r>
            <w:r>
              <w:rPr>
                <w:rFonts w:ascii="宋体" w:hAnsi="宋体" w:hint="eastAsia"/>
                <w:szCs w:val="21"/>
              </w:rPr>
              <w:t>Schneider</w:t>
            </w:r>
            <w:r>
              <w:rPr>
                <w:rFonts w:ascii="宋体" w:hAnsi="宋体" w:hint="eastAsia"/>
                <w:szCs w:val="21"/>
              </w:rPr>
              <w:t>）</w:t>
            </w:r>
            <w:r>
              <w:rPr>
                <w:rFonts w:ascii="宋体" w:hAnsi="宋体" w:hint="eastAsia"/>
                <w:szCs w:val="21"/>
              </w:rPr>
              <w:t xml:space="preserve"> ,,</w:t>
            </w:r>
            <w:r>
              <w:rPr>
                <w:rFonts w:ascii="宋体" w:hAnsi="宋体" w:hint="eastAsia"/>
                <w:szCs w:val="21"/>
              </w:rPr>
              <w:t>其中：中压断路器为</w:t>
            </w:r>
            <w:r>
              <w:rPr>
                <w:rFonts w:ascii="宋体" w:hAnsi="宋体" w:hint="eastAsia"/>
                <w:szCs w:val="21"/>
              </w:rPr>
              <w:t xml:space="preserve">ABB VD4 </w:t>
            </w:r>
            <w:r>
              <w:rPr>
                <w:rFonts w:ascii="宋体" w:hAnsi="宋体" w:hint="eastAsia"/>
                <w:szCs w:val="21"/>
              </w:rPr>
              <w:t>系列</w:t>
            </w:r>
            <w:r>
              <w:rPr>
                <w:rFonts w:ascii="宋体" w:hAnsi="宋体" w:hint="eastAsia"/>
                <w:szCs w:val="21"/>
              </w:rPr>
              <w:t xml:space="preserve"> </w:t>
            </w:r>
            <w:r>
              <w:rPr>
                <w:rFonts w:ascii="宋体" w:hAnsi="宋体" w:hint="eastAsia"/>
                <w:szCs w:val="21"/>
              </w:rPr>
              <w:t>施耐德</w:t>
            </w:r>
            <w:r>
              <w:rPr>
                <w:rFonts w:ascii="宋体" w:hAnsi="宋体" w:hint="eastAsia"/>
                <w:szCs w:val="21"/>
              </w:rPr>
              <w:t>HVX</w:t>
            </w:r>
            <w:r>
              <w:rPr>
                <w:rFonts w:ascii="宋体" w:hAnsi="宋体" w:hint="eastAsia"/>
                <w:szCs w:val="21"/>
              </w:rPr>
              <w:t>系列或同等档次；框架断路器为</w:t>
            </w:r>
            <w:r>
              <w:rPr>
                <w:rFonts w:ascii="宋体" w:hAnsi="宋体" w:hint="eastAsia"/>
                <w:szCs w:val="21"/>
              </w:rPr>
              <w:t>ABB Emax2</w:t>
            </w:r>
            <w:r>
              <w:rPr>
                <w:rFonts w:ascii="宋体" w:hAnsi="宋体" w:hint="eastAsia"/>
                <w:szCs w:val="21"/>
              </w:rPr>
              <w:t>系列</w:t>
            </w:r>
            <w:r>
              <w:rPr>
                <w:rFonts w:ascii="宋体" w:hAnsi="宋体" w:hint="eastAsia"/>
                <w:szCs w:val="21"/>
              </w:rPr>
              <w:t xml:space="preserve"> </w:t>
            </w:r>
            <w:r>
              <w:rPr>
                <w:rFonts w:ascii="宋体" w:hAnsi="宋体" w:hint="eastAsia"/>
                <w:szCs w:val="21"/>
              </w:rPr>
              <w:t>施耐德</w:t>
            </w:r>
            <w:r>
              <w:rPr>
                <w:rFonts w:ascii="宋体" w:hAnsi="宋体" w:hint="eastAsia"/>
                <w:szCs w:val="21"/>
              </w:rPr>
              <w:t>MT</w:t>
            </w:r>
            <w:r>
              <w:rPr>
                <w:rFonts w:ascii="宋体" w:hAnsi="宋体" w:hint="eastAsia"/>
                <w:szCs w:val="21"/>
              </w:rPr>
              <w:t>系列或同等档次；微型短路器为</w:t>
            </w:r>
            <w:r>
              <w:rPr>
                <w:rFonts w:ascii="宋体" w:hAnsi="宋体" w:hint="eastAsia"/>
                <w:szCs w:val="21"/>
              </w:rPr>
              <w:t>ABB S200</w:t>
            </w:r>
            <w:r>
              <w:rPr>
                <w:rFonts w:ascii="宋体" w:hAnsi="宋体" w:hint="eastAsia"/>
                <w:szCs w:val="21"/>
              </w:rPr>
              <w:t>系列施耐德</w:t>
            </w:r>
            <w:r>
              <w:rPr>
                <w:rFonts w:ascii="宋体" w:hAnsi="宋体" w:hint="eastAsia"/>
                <w:szCs w:val="21"/>
              </w:rPr>
              <w:t>iC65</w:t>
            </w:r>
            <w:r>
              <w:rPr>
                <w:rFonts w:ascii="宋体" w:hAnsi="宋体" w:hint="eastAsia"/>
                <w:szCs w:val="21"/>
              </w:rPr>
              <w:t>系列或同等档次；双电源为</w:t>
            </w:r>
            <w:r>
              <w:rPr>
                <w:rFonts w:ascii="宋体" w:hAnsi="宋体" w:hint="eastAsia"/>
                <w:szCs w:val="21"/>
              </w:rPr>
              <w:t>ABB OTM</w:t>
            </w:r>
            <w:r>
              <w:rPr>
                <w:rFonts w:ascii="宋体" w:hAnsi="宋体" w:hint="eastAsia"/>
                <w:szCs w:val="21"/>
              </w:rPr>
              <w:t>系列施耐德</w:t>
            </w:r>
            <w:r>
              <w:rPr>
                <w:rFonts w:ascii="宋体" w:hAnsi="宋体" w:hint="eastAsia"/>
                <w:szCs w:val="21"/>
              </w:rPr>
              <w:t>WATSN</w:t>
            </w:r>
            <w:r>
              <w:rPr>
                <w:rFonts w:ascii="宋体" w:hAnsi="宋体" w:hint="eastAsia"/>
                <w:szCs w:val="21"/>
              </w:rPr>
              <w:t>系列或同等档次；控制与保护开关为</w:t>
            </w:r>
            <w:r>
              <w:rPr>
                <w:rFonts w:ascii="宋体" w:hAnsi="宋体" w:hint="eastAsia"/>
                <w:szCs w:val="21"/>
              </w:rPr>
              <w:t>ABB CPX</w:t>
            </w:r>
            <w:r>
              <w:rPr>
                <w:rFonts w:ascii="宋体" w:hAnsi="宋体" w:hint="eastAsia"/>
                <w:szCs w:val="21"/>
              </w:rPr>
              <w:t>系列浙江中凯</w:t>
            </w:r>
            <w:r>
              <w:rPr>
                <w:rFonts w:ascii="宋体" w:hAnsi="宋体" w:hint="eastAsia"/>
                <w:szCs w:val="21"/>
              </w:rPr>
              <w:t>KB0</w:t>
            </w:r>
            <w:r>
              <w:rPr>
                <w:rFonts w:ascii="宋体" w:hAnsi="宋体" w:hint="eastAsia"/>
                <w:szCs w:val="21"/>
              </w:rPr>
              <w:t>系列或同等档次；塑壳断路器为</w:t>
            </w:r>
            <w:r>
              <w:rPr>
                <w:rFonts w:ascii="宋体" w:hAnsi="宋体" w:hint="eastAsia"/>
                <w:szCs w:val="21"/>
              </w:rPr>
              <w:t>ABB Tmax</w:t>
            </w:r>
            <w:r>
              <w:rPr>
                <w:rFonts w:ascii="宋体" w:hAnsi="宋体" w:hint="eastAsia"/>
                <w:szCs w:val="21"/>
              </w:rPr>
              <w:t>系列施耐德</w:t>
            </w:r>
            <w:r>
              <w:rPr>
                <w:rFonts w:ascii="宋体" w:hAnsi="宋体" w:hint="eastAsia"/>
                <w:szCs w:val="21"/>
              </w:rPr>
              <w:t>NSX</w:t>
            </w:r>
            <w:r>
              <w:rPr>
                <w:rFonts w:ascii="宋体" w:hAnsi="宋体" w:hint="eastAsia"/>
                <w:szCs w:val="21"/>
              </w:rPr>
              <w:t>系列或同等档次；接触器为</w:t>
            </w:r>
            <w:r>
              <w:rPr>
                <w:rFonts w:ascii="宋体" w:hAnsi="宋体" w:hint="eastAsia"/>
                <w:szCs w:val="21"/>
              </w:rPr>
              <w:t xml:space="preserve">ABB </w:t>
            </w:r>
            <w:r>
              <w:rPr>
                <w:rFonts w:ascii="宋体" w:hAnsi="宋体" w:hint="eastAsia"/>
                <w:szCs w:val="21"/>
              </w:rPr>
              <w:t>施耐德标准型</w:t>
            </w:r>
            <w:r>
              <w:rPr>
                <w:rFonts w:ascii="宋体" w:hAnsi="宋体" w:hint="eastAsia"/>
                <w:szCs w:val="21"/>
              </w:rPr>
              <w:t xml:space="preserve"> </w:t>
            </w:r>
            <w:r>
              <w:rPr>
                <w:rFonts w:ascii="宋体" w:hAnsi="宋体" w:hint="eastAsia"/>
                <w:szCs w:val="21"/>
              </w:rPr>
              <w:t>或同等档次；热继电器为</w:t>
            </w:r>
            <w:r>
              <w:rPr>
                <w:rFonts w:ascii="宋体" w:hAnsi="宋体" w:hint="eastAsia"/>
                <w:szCs w:val="21"/>
              </w:rPr>
              <w:t xml:space="preserve">ABB </w:t>
            </w:r>
            <w:r>
              <w:rPr>
                <w:rFonts w:ascii="宋体" w:hAnsi="宋体" w:hint="eastAsia"/>
                <w:szCs w:val="21"/>
              </w:rPr>
              <w:t>施耐德标准型</w:t>
            </w:r>
            <w:r>
              <w:rPr>
                <w:rFonts w:ascii="宋体" w:hAnsi="宋体" w:hint="eastAsia"/>
                <w:szCs w:val="21"/>
              </w:rPr>
              <w:t xml:space="preserve"> </w:t>
            </w:r>
            <w:r>
              <w:rPr>
                <w:rFonts w:ascii="宋体" w:hAnsi="宋体" w:hint="eastAsia"/>
                <w:szCs w:val="21"/>
              </w:rPr>
              <w:t>或同等档次。以上施耐德均特指施耐德（</w:t>
            </w:r>
            <w:r>
              <w:rPr>
                <w:rFonts w:ascii="宋体" w:hAnsi="宋体" w:hint="eastAsia"/>
                <w:szCs w:val="21"/>
              </w:rPr>
              <w:t>Schneider</w:t>
            </w:r>
            <w:r>
              <w:rPr>
                <w:rFonts w:ascii="宋体" w:hAnsi="宋体" w:hint="eastAsia"/>
                <w:szCs w:val="21"/>
              </w:rPr>
              <w:t>）。</w:t>
            </w:r>
          </w:p>
        </w:tc>
        <w:tc>
          <w:tcPr>
            <w:tcW w:w="2341" w:type="dxa"/>
            <w:tcBorders>
              <w:top w:val="single" w:sz="4" w:space="0" w:color="000000"/>
              <w:left w:val="nil"/>
              <w:bottom w:val="single" w:sz="4" w:space="0" w:color="000000"/>
              <w:right w:val="single" w:sz="4" w:space="0" w:color="000000"/>
            </w:tcBorders>
            <w:noWrap/>
            <w:vAlign w:val="center"/>
          </w:tcPr>
          <w:p w14:paraId="256B2B32" w14:textId="77777777" w:rsidR="009A5FB0" w:rsidRDefault="00BF1721">
            <w:pPr>
              <w:widowControl/>
              <w:jc w:val="left"/>
              <w:rPr>
                <w:rFonts w:ascii="宋体" w:hAnsi="宋体"/>
                <w:szCs w:val="21"/>
              </w:rPr>
            </w:pPr>
            <w:r>
              <w:rPr>
                <w:rFonts w:ascii="宋体" w:hAnsi="宋体" w:hint="eastAsia"/>
                <w:szCs w:val="21"/>
              </w:rPr>
              <w:t>符合设计参数要求</w:t>
            </w:r>
          </w:p>
        </w:tc>
      </w:tr>
      <w:tr w:rsidR="009A5FB0" w14:paraId="3823F433"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0ADD991E"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7247C8CC" w14:textId="77777777" w:rsidR="009A5FB0" w:rsidRDefault="00BF1721">
            <w:pPr>
              <w:widowControl/>
              <w:jc w:val="left"/>
              <w:rPr>
                <w:rFonts w:ascii="宋体" w:hAnsi="宋体"/>
                <w:szCs w:val="21"/>
              </w:rPr>
            </w:pPr>
            <w:r>
              <w:rPr>
                <w:rFonts w:ascii="宋体" w:hAnsi="宋体" w:hint="eastAsia"/>
                <w:szCs w:val="21"/>
              </w:rPr>
              <w:t>吸顶灯、荧光灯、</w:t>
            </w:r>
            <w:r>
              <w:rPr>
                <w:rFonts w:ascii="宋体" w:hAnsi="宋体" w:hint="eastAsia"/>
                <w:szCs w:val="21"/>
              </w:rPr>
              <w:t>LED</w:t>
            </w:r>
            <w:r>
              <w:rPr>
                <w:rFonts w:ascii="宋体" w:hAnsi="宋体" w:hint="eastAsia"/>
                <w:szCs w:val="21"/>
              </w:rPr>
              <w:t>灯等普通照明灯具</w:t>
            </w:r>
          </w:p>
        </w:tc>
        <w:tc>
          <w:tcPr>
            <w:tcW w:w="3225" w:type="dxa"/>
            <w:tcBorders>
              <w:top w:val="single" w:sz="4" w:space="0" w:color="000000"/>
              <w:left w:val="nil"/>
              <w:bottom w:val="single" w:sz="4" w:space="0" w:color="000000"/>
              <w:right w:val="single" w:sz="4" w:space="0" w:color="000000"/>
            </w:tcBorders>
            <w:noWrap/>
            <w:vAlign w:val="center"/>
          </w:tcPr>
          <w:p w14:paraId="46EF1D17" w14:textId="77777777" w:rsidR="009A5FB0" w:rsidRDefault="00BF1721">
            <w:pPr>
              <w:widowControl/>
              <w:jc w:val="left"/>
              <w:rPr>
                <w:rFonts w:ascii="宋体" w:hAnsi="宋体"/>
                <w:szCs w:val="21"/>
              </w:rPr>
            </w:pPr>
            <w:r>
              <w:rPr>
                <w:rFonts w:ascii="宋体" w:hAnsi="宋体" w:hint="eastAsia"/>
                <w:szCs w:val="21"/>
              </w:rPr>
              <w:t>飞利浦（</w:t>
            </w:r>
            <w:r>
              <w:rPr>
                <w:rFonts w:ascii="宋体" w:hAnsi="宋体" w:hint="eastAsia"/>
                <w:szCs w:val="21"/>
              </w:rPr>
              <w:t>PHILIPS</w:t>
            </w:r>
            <w:r>
              <w:rPr>
                <w:rFonts w:ascii="宋体" w:hAnsi="宋体" w:hint="eastAsia"/>
                <w:szCs w:val="21"/>
              </w:rPr>
              <w:t>）、欧普、雷士照明</w:t>
            </w:r>
          </w:p>
        </w:tc>
        <w:tc>
          <w:tcPr>
            <w:tcW w:w="2341" w:type="dxa"/>
            <w:tcBorders>
              <w:top w:val="single" w:sz="4" w:space="0" w:color="000000"/>
              <w:left w:val="nil"/>
              <w:bottom w:val="single" w:sz="4" w:space="0" w:color="000000"/>
              <w:right w:val="single" w:sz="4" w:space="0" w:color="000000"/>
            </w:tcBorders>
            <w:noWrap/>
            <w:vAlign w:val="center"/>
          </w:tcPr>
          <w:p w14:paraId="5E3BD33F" w14:textId="77777777" w:rsidR="009A5FB0" w:rsidRDefault="00BF1721">
            <w:pPr>
              <w:widowControl/>
              <w:jc w:val="left"/>
              <w:rPr>
                <w:rFonts w:ascii="宋体" w:hAnsi="宋体"/>
                <w:szCs w:val="21"/>
              </w:rPr>
            </w:pPr>
            <w:r>
              <w:rPr>
                <w:rFonts w:ascii="宋体" w:hAnsi="宋体" w:hint="eastAsia"/>
                <w:szCs w:val="21"/>
              </w:rPr>
              <w:t xml:space="preserve">　</w:t>
            </w:r>
          </w:p>
        </w:tc>
      </w:tr>
      <w:tr w:rsidR="009A5FB0" w14:paraId="17C1F61E"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565C19F9"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265D504F" w14:textId="77777777" w:rsidR="009A5FB0" w:rsidRDefault="00BF1721">
            <w:pPr>
              <w:widowControl/>
              <w:jc w:val="left"/>
              <w:rPr>
                <w:rFonts w:ascii="宋体" w:hAnsi="宋体"/>
                <w:szCs w:val="21"/>
              </w:rPr>
            </w:pPr>
            <w:r>
              <w:rPr>
                <w:rFonts w:ascii="宋体" w:hAnsi="宋体" w:hint="eastAsia"/>
                <w:szCs w:val="21"/>
              </w:rPr>
              <w:t>非集中控制型应急照明</w:t>
            </w:r>
          </w:p>
        </w:tc>
        <w:tc>
          <w:tcPr>
            <w:tcW w:w="3225" w:type="dxa"/>
            <w:tcBorders>
              <w:top w:val="single" w:sz="4" w:space="0" w:color="000000"/>
              <w:left w:val="nil"/>
              <w:bottom w:val="single" w:sz="4" w:space="0" w:color="000000"/>
              <w:right w:val="single" w:sz="4" w:space="0" w:color="000000"/>
            </w:tcBorders>
            <w:noWrap/>
            <w:vAlign w:val="center"/>
          </w:tcPr>
          <w:p w14:paraId="64DE9AEC" w14:textId="77777777" w:rsidR="009A5FB0" w:rsidRDefault="00BF1721">
            <w:pPr>
              <w:widowControl/>
              <w:jc w:val="left"/>
              <w:rPr>
                <w:rFonts w:ascii="宋体" w:hAnsi="宋体"/>
                <w:szCs w:val="21"/>
              </w:rPr>
            </w:pPr>
            <w:r>
              <w:rPr>
                <w:rFonts w:ascii="宋体" w:hAnsi="宋体" w:hint="eastAsia"/>
                <w:szCs w:val="21"/>
              </w:rPr>
              <w:t>π拿斯特（</w:t>
            </w:r>
            <w:r>
              <w:rPr>
                <w:rFonts w:ascii="宋体" w:hAnsi="宋体" w:hint="eastAsia"/>
                <w:szCs w:val="21"/>
              </w:rPr>
              <w:t>Pinaster</w:t>
            </w:r>
            <w:r>
              <w:rPr>
                <w:rFonts w:ascii="宋体" w:hAnsi="宋体" w:hint="eastAsia"/>
                <w:szCs w:val="21"/>
              </w:rPr>
              <w:t>）、劳士（</w:t>
            </w:r>
            <w:r>
              <w:rPr>
                <w:rFonts w:ascii="宋体" w:hAnsi="宋体" w:hint="eastAsia"/>
                <w:szCs w:val="21"/>
              </w:rPr>
              <w:t>L'ose</w:t>
            </w:r>
            <w:r>
              <w:rPr>
                <w:rFonts w:ascii="宋体" w:hAnsi="宋体" w:hint="eastAsia"/>
                <w:szCs w:val="21"/>
              </w:rPr>
              <w:t>）、平安</w:t>
            </w:r>
          </w:p>
        </w:tc>
        <w:tc>
          <w:tcPr>
            <w:tcW w:w="2341" w:type="dxa"/>
            <w:tcBorders>
              <w:top w:val="single" w:sz="4" w:space="0" w:color="000000"/>
              <w:left w:val="nil"/>
              <w:bottom w:val="single" w:sz="4" w:space="0" w:color="000000"/>
              <w:right w:val="single" w:sz="4" w:space="0" w:color="000000"/>
            </w:tcBorders>
            <w:noWrap/>
            <w:vAlign w:val="center"/>
          </w:tcPr>
          <w:p w14:paraId="4AEA40BA" w14:textId="77777777" w:rsidR="009A5FB0" w:rsidRDefault="00BF1721">
            <w:pPr>
              <w:widowControl/>
              <w:jc w:val="left"/>
              <w:rPr>
                <w:rFonts w:ascii="宋体" w:hAnsi="宋体"/>
                <w:szCs w:val="21"/>
              </w:rPr>
            </w:pPr>
            <w:r>
              <w:rPr>
                <w:rFonts w:ascii="宋体" w:hAnsi="宋体" w:hint="eastAsia"/>
                <w:szCs w:val="21"/>
              </w:rPr>
              <w:t>铝合金拉丝，应急时间满足建设单位要求</w:t>
            </w:r>
          </w:p>
        </w:tc>
      </w:tr>
      <w:tr w:rsidR="009A5FB0" w14:paraId="0BE37755"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070B8883"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6080B220" w14:textId="77777777" w:rsidR="009A5FB0" w:rsidRDefault="00BF1721">
            <w:pPr>
              <w:widowControl/>
              <w:jc w:val="left"/>
              <w:rPr>
                <w:rFonts w:ascii="宋体" w:hAnsi="宋体"/>
                <w:szCs w:val="21"/>
              </w:rPr>
            </w:pPr>
            <w:r>
              <w:rPr>
                <w:rFonts w:ascii="宋体" w:hAnsi="宋体" w:hint="eastAsia"/>
                <w:szCs w:val="21"/>
              </w:rPr>
              <w:t>集中控制型应急照明</w:t>
            </w:r>
          </w:p>
        </w:tc>
        <w:tc>
          <w:tcPr>
            <w:tcW w:w="3225" w:type="dxa"/>
            <w:tcBorders>
              <w:top w:val="single" w:sz="4" w:space="0" w:color="000000"/>
              <w:left w:val="nil"/>
              <w:bottom w:val="single" w:sz="4" w:space="0" w:color="000000"/>
              <w:right w:val="single" w:sz="4" w:space="0" w:color="000000"/>
            </w:tcBorders>
            <w:noWrap/>
            <w:vAlign w:val="center"/>
          </w:tcPr>
          <w:p w14:paraId="443E59BB" w14:textId="77777777" w:rsidR="009A5FB0" w:rsidRDefault="00BF1721">
            <w:pPr>
              <w:widowControl/>
              <w:jc w:val="left"/>
              <w:rPr>
                <w:rFonts w:ascii="宋体" w:hAnsi="宋体"/>
                <w:szCs w:val="21"/>
              </w:rPr>
            </w:pPr>
            <w:r>
              <w:rPr>
                <w:rFonts w:ascii="宋体" w:hAnsi="宋体" w:hint="eastAsia"/>
                <w:szCs w:val="21"/>
              </w:rPr>
              <w:t>海湾、泰和安、利达</w:t>
            </w:r>
          </w:p>
        </w:tc>
        <w:tc>
          <w:tcPr>
            <w:tcW w:w="2341" w:type="dxa"/>
            <w:tcBorders>
              <w:top w:val="single" w:sz="4" w:space="0" w:color="000000"/>
              <w:left w:val="nil"/>
              <w:bottom w:val="single" w:sz="4" w:space="0" w:color="000000"/>
              <w:right w:val="single" w:sz="4" w:space="0" w:color="000000"/>
            </w:tcBorders>
            <w:noWrap/>
            <w:vAlign w:val="center"/>
          </w:tcPr>
          <w:p w14:paraId="27052830" w14:textId="77777777" w:rsidR="009A5FB0" w:rsidRDefault="009A5FB0">
            <w:pPr>
              <w:widowControl/>
              <w:jc w:val="left"/>
              <w:rPr>
                <w:rFonts w:ascii="宋体" w:hAnsi="宋体"/>
                <w:szCs w:val="21"/>
              </w:rPr>
            </w:pPr>
          </w:p>
        </w:tc>
      </w:tr>
      <w:tr w:rsidR="009A5FB0" w14:paraId="2375F5A3"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3065ACB4"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479F5167" w14:textId="77777777" w:rsidR="009A5FB0" w:rsidRDefault="00BF1721">
            <w:pPr>
              <w:widowControl/>
              <w:jc w:val="left"/>
              <w:rPr>
                <w:rFonts w:ascii="宋体" w:hAnsi="宋体"/>
                <w:szCs w:val="21"/>
              </w:rPr>
            </w:pPr>
            <w:r>
              <w:rPr>
                <w:rFonts w:ascii="宋体" w:hAnsi="宋体" w:hint="eastAsia"/>
                <w:szCs w:val="21"/>
              </w:rPr>
              <w:t>消防火灾报警系统、火灾监控、消防电监控、防火门监控</w:t>
            </w:r>
          </w:p>
        </w:tc>
        <w:tc>
          <w:tcPr>
            <w:tcW w:w="3225" w:type="dxa"/>
            <w:tcBorders>
              <w:top w:val="single" w:sz="4" w:space="0" w:color="000000"/>
              <w:left w:val="nil"/>
              <w:bottom w:val="single" w:sz="4" w:space="0" w:color="000000"/>
              <w:right w:val="single" w:sz="4" w:space="0" w:color="000000"/>
            </w:tcBorders>
            <w:noWrap/>
            <w:vAlign w:val="center"/>
          </w:tcPr>
          <w:p w14:paraId="4602B85B" w14:textId="77777777" w:rsidR="009A5FB0" w:rsidRDefault="00BF1721">
            <w:pPr>
              <w:widowControl/>
              <w:jc w:val="left"/>
              <w:rPr>
                <w:rFonts w:ascii="宋体" w:hAnsi="宋体"/>
                <w:szCs w:val="21"/>
              </w:rPr>
            </w:pPr>
            <w:r>
              <w:rPr>
                <w:rFonts w:ascii="宋体" w:hAnsi="宋体" w:hint="eastAsia"/>
                <w:szCs w:val="21"/>
              </w:rPr>
              <w:t>海湾、泰和安、利达</w:t>
            </w:r>
          </w:p>
        </w:tc>
        <w:tc>
          <w:tcPr>
            <w:tcW w:w="2341" w:type="dxa"/>
            <w:tcBorders>
              <w:top w:val="single" w:sz="4" w:space="0" w:color="000000"/>
              <w:left w:val="nil"/>
              <w:bottom w:val="single" w:sz="4" w:space="0" w:color="000000"/>
              <w:right w:val="single" w:sz="4" w:space="0" w:color="000000"/>
            </w:tcBorders>
            <w:noWrap/>
            <w:vAlign w:val="center"/>
          </w:tcPr>
          <w:p w14:paraId="71675006" w14:textId="77777777" w:rsidR="009A5FB0" w:rsidRDefault="00BF1721">
            <w:pPr>
              <w:widowControl/>
              <w:jc w:val="left"/>
              <w:rPr>
                <w:rFonts w:ascii="宋体" w:hAnsi="宋体"/>
                <w:szCs w:val="21"/>
              </w:rPr>
            </w:pPr>
            <w:r>
              <w:rPr>
                <w:rFonts w:ascii="宋体" w:hAnsi="宋体" w:hint="eastAsia"/>
                <w:szCs w:val="21"/>
              </w:rPr>
              <w:t xml:space="preserve">　</w:t>
            </w:r>
          </w:p>
        </w:tc>
      </w:tr>
      <w:tr w:rsidR="009A5FB0" w14:paraId="5DBF4009"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7F5D20A3"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32BA16C9" w14:textId="77777777" w:rsidR="009A5FB0" w:rsidRDefault="00BF1721">
            <w:pPr>
              <w:widowControl/>
              <w:jc w:val="left"/>
              <w:rPr>
                <w:rFonts w:ascii="宋体" w:hAnsi="宋体"/>
                <w:szCs w:val="21"/>
              </w:rPr>
            </w:pPr>
            <w:r>
              <w:rPr>
                <w:rFonts w:ascii="宋体" w:hAnsi="宋体" w:hint="eastAsia"/>
                <w:szCs w:val="21"/>
              </w:rPr>
              <w:t>灭火器箱</w:t>
            </w:r>
          </w:p>
        </w:tc>
        <w:tc>
          <w:tcPr>
            <w:tcW w:w="3225" w:type="dxa"/>
            <w:tcBorders>
              <w:top w:val="single" w:sz="4" w:space="0" w:color="000000"/>
              <w:left w:val="nil"/>
              <w:bottom w:val="single" w:sz="4" w:space="0" w:color="000000"/>
              <w:right w:val="single" w:sz="4" w:space="0" w:color="000000"/>
            </w:tcBorders>
            <w:noWrap/>
            <w:vAlign w:val="center"/>
          </w:tcPr>
          <w:p w14:paraId="2808E361" w14:textId="77777777" w:rsidR="009A5FB0" w:rsidRDefault="00BF1721">
            <w:pPr>
              <w:widowControl/>
              <w:jc w:val="left"/>
              <w:rPr>
                <w:rFonts w:ascii="宋体" w:hAnsi="宋体"/>
                <w:szCs w:val="21"/>
              </w:rPr>
            </w:pPr>
            <w:r>
              <w:rPr>
                <w:rFonts w:ascii="宋体" w:hAnsi="宋体" w:hint="eastAsia"/>
                <w:szCs w:val="21"/>
              </w:rPr>
              <w:t>1.0mm</w:t>
            </w:r>
            <w:r>
              <w:rPr>
                <w:rFonts w:ascii="宋体" w:hAnsi="宋体" w:hint="eastAsia"/>
                <w:szCs w:val="21"/>
              </w:rPr>
              <w:t>厚及以上</w:t>
            </w:r>
          </w:p>
        </w:tc>
        <w:tc>
          <w:tcPr>
            <w:tcW w:w="2341" w:type="dxa"/>
            <w:tcBorders>
              <w:top w:val="single" w:sz="4" w:space="0" w:color="000000"/>
              <w:left w:val="nil"/>
              <w:bottom w:val="single" w:sz="4" w:space="0" w:color="000000"/>
              <w:right w:val="single" w:sz="4" w:space="0" w:color="000000"/>
            </w:tcBorders>
            <w:noWrap/>
            <w:vAlign w:val="center"/>
          </w:tcPr>
          <w:p w14:paraId="7807C937" w14:textId="77777777" w:rsidR="009A5FB0" w:rsidRDefault="00BF1721">
            <w:pPr>
              <w:widowControl/>
              <w:jc w:val="left"/>
              <w:rPr>
                <w:rFonts w:ascii="宋体" w:hAnsi="宋体"/>
                <w:szCs w:val="21"/>
              </w:rPr>
            </w:pPr>
            <w:r>
              <w:rPr>
                <w:rFonts w:ascii="宋体" w:hAnsi="宋体" w:hint="eastAsia"/>
                <w:szCs w:val="21"/>
              </w:rPr>
              <w:t>304</w:t>
            </w:r>
            <w:r>
              <w:rPr>
                <w:rFonts w:ascii="宋体" w:hAnsi="宋体" w:hint="eastAsia"/>
                <w:szCs w:val="21"/>
              </w:rPr>
              <w:t>不锈钢材质</w:t>
            </w:r>
          </w:p>
        </w:tc>
      </w:tr>
      <w:tr w:rsidR="009A5FB0" w14:paraId="5B8F88D0"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0D087942"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1920803E" w14:textId="77777777" w:rsidR="009A5FB0" w:rsidRDefault="00BF1721">
            <w:pPr>
              <w:widowControl/>
              <w:jc w:val="left"/>
              <w:rPr>
                <w:rFonts w:ascii="宋体" w:hAnsi="宋体"/>
                <w:szCs w:val="21"/>
              </w:rPr>
            </w:pPr>
            <w:r>
              <w:rPr>
                <w:rFonts w:ascii="宋体" w:hAnsi="宋体" w:hint="eastAsia"/>
                <w:szCs w:val="21"/>
              </w:rPr>
              <w:t>消火栓箱</w:t>
            </w:r>
          </w:p>
        </w:tc>
        <w:tc>
          <w:tcPr>
            <w:tcW w:w="3225" w:type="dxa"/>
            <w:tcBorders>
              <w:top w:val="single" w:sz="4" w:space="0" w:color="000000"/>
              <w:left w:val="nil"/>
              <w:bottom w:val="single" w:sz="4" w:space="0" w:color="000000"/>
              <w:right w:val="single" w:sz="4" w:space="0" w:color="000000"/>
            </w:tcBorders>
            <w:noWrap/>
            <w:vAlign w:val="center"/>
          </w:tcPr>
          <w:p w14:paraId="0EE484E5" w14:textId="77777777" w:rsidR="009A5FB0" w:rsidRDefault="00BF1721">
            <w:pPr>
              <w:widowControl/>
              <w:jc w:val="left"/>
              <w:rPr>
                <w:rFonts w:ascii="宋体" w:hAnsi="宋体"/>
                <w:szCs w:val="21"/>
              </w:rPr>
            </w:pPr>
            <w:r>
              <w:rPr>
                <w:rFonts w:ascii="宋体" w:hAnsi="宋体" w:hint="eastAsia"/>
                <w:szCs w:val="21"/>
              </w:rPr>
              <w:t>萃联“川消”、南消“金枪鱼”、上海“金盾”、湖南“金鼎”</w:t>
            </w:r>
          </w:p>
        </w:tc>
        <w:tc>
          <w:tcPr>
            <w:tcW w:w="2341" w:type="dxa"/>
            <w:tcBorders>
              <w:top w:val="single" w:sz="4" w:space="0" w:color="000000"/>
              <w:left w:val="nil"/>
              <w:bottom w:val="single" w:sz="4" w:space="0" w:color="000000"/>
              <w:right w:val="single" w:sz="4" w:space="0" w:color="000000"/>
            </w:tcBorders>
            <w:noWrap/>
            <w:vAlign w:val="center"/>
          </w:tcPr>
          <w:p w14:paraId="6FCB0BC5" w14:textId="77777777" w:rsidR="009A5FB0" w:rsidRDefault="00BF1721">
            <w:pPr>
              <w:widowControl/>
              <w:jc w:val="left"/>
              <w:rPr>
                <w:rFonts w:ascii="宋体" w:hAnsi="宋体"/>
                <w:szCs w:val="21"/>
              </w:rPr>
            </w:pPr>
            <w:r>
              <w:rPr>
                <w:rFonts w:ascii="宋体" w:hAnsi="宋体" w:hint="eastAsia"/>
                <w:szCs w:val="21"/>
              </w:rPr>
              <w:t>304</w:t>
            </w:r>
            <w:r>
              <w:rPr>
                <w:rFonts w:ascii="宋体" w:hAnsi="宋体" w:hint="eastAsia"/>
                <w:szCs w:val="21"/>
              </w:rPr>
              <w:t>不锈钢，厚度</w:t>
            </w:r>
            <w:r>
              <w:rPr>
                <w:rFonts w:ascii="宋体" w:hAnsi="宋体" w:hint="eastAsia"/>
                <w:szCs w:val="21"/>
              </w:rPr>
              <w:t>1.2mm</w:t>
            </w:r>
          </w:p>
        </w:tc>
      </w:tr>
      <w:tr w:rsidR="009A5FB0" w14:paraId="15D37FB4"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2C808455"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59617284" w14:textId="77777777" w:rsidR="009A5FB0" w:rsidRDefault="00BF1721">
            <w:pPr>
              <w:widowControl/>
              <w:jc w:val="left"/>
              <w:rPr>
                <w:rFonts w:ascii="宋体" w:hAnsi="宋体"/>
                <w:szCs w:val="21"/>
              </w:rPr>
            </w:pPr>
            <w:r>
              <w:rPr>
                <w:rFonts w:ascii="宋体" w:hAnsi="宋体" w:hint="eastAsia"/>
                <w:szCs w:val="21"/>
              </w:rPr>
              <w:t>消火栓、洒水</w:t>
            </w:r>
            <w:hyperlink r:id="rId8" w:tgtFrame="_blank" w:history="1">
              <w:r>
                <w:rPr>
                  <w:rFonts w:ascii="宋体" w:hAnsi="宋体" w:hint="eastAsia"/>
                  <w:szCs w:val="21"/>
                </w:rPr>
                <w:t>喷头</w:t>
              </w:r>
            </w:hyperlink>
            <w:r>
              <w:rPr>
                <w:rFonts w:ascii="宋体" w:hAnsi="宋体" w:hint="eastAsia"/>
                <w:szCs w:val="21"/>
              </w:rPr>
              <w:t>、</w:t>
            </w:r>
            <w:hyperlink r:id="rId9" w:tgtFrame="_blank" w:history="1">
              <w:r>
                <w:rPr>
                  <w:rFonts w:ascii="宋体" w:hAnsi="宋体" w:hint="eastAsia"/>
                  <w:szCs w:val="21"/>
                </w:rPr>
                <w:t>水泵接合器</w:t>
              </w:r>
            </w:hyperlink>
            <w:r>
              <w:rPr>
                <w:rFonts w:ascii="宋体" w:hAnsi="宋体" w:hint="eastAsia"/>
                <w:szCs w:val="21"/>
              </w:rPr>
              <w:t>等消防水器材</w:t>
            </w:r>
          </w:p>
        </w:tc>
        <w:tc>
          <w:tcPr>
            <w:tcW w:w="3225" w:type="dxa"/>
            <w:tcBorders>
              <w:top w:val="single" w:sz="4" w:space="0" w:color="000000"/>
              <w:left w:val="nil"/>
              <w:bottom w:val="single" w:sz="4" w:space="0" w:color="000000"/>
              <w:right w:val="single" w:sz="4" w:space="0" w:color="000000"/>
            </w:tcBorders>
            <w:noWrap/>
            <w:vAlign w:val="center"/>
          </w:tcPr>
          <w:p w14:paraId="0A73104B" w14:textId="77777777" w:rsidR="009A5FB0" w:rsidRDefault="00BF1721">
            <w:pPr>
              <w:widowControl/>
              <w:jc w:val="left"/>
              <w:rPr>
                <w:rFonts w:ascii="宋体" w:hAnsi="宋体"/>
                <w:szCs w:val="21"/>
              </w:rPr>
            </w:pPr>
            <w:r>
              <w:rPr>
                <w:rFonts w:ascii="宋体" w:hAnsi="宋体" w:hint="eastAsia"/>
                <w:szCs w:val="21"/>
              </w:rPr>
              <w:t>萃联“川消”、南消“金枪鱼”、上海“金盾”</w:t>
            </w:r>
          </w:p>
        </w:tc>
        <w:tc>
          <w:tcPr>
            <w:tcW w:w="2341" w:type="dxa"/>
            <w:tcBorders>
              <w:top w:val="single" w:sz="4" w:space="0" w:color="000000"/>
              <w:left w:val="nil"/>
              <w:bottom w:val="single" w:sz="4" w:space="0" w:color="000000"/>
              <w:right w:val="single" w:sz="4" w:space="0" w:color="000000"/>
            </w:tcBorders>
            <w:noWrap/>
            <w:vAlign w:val="center"/>
          </w:tcPr>
          <w:p w14:paraId="7B44B4A8" w14:textId="77777777" w:rsidR="009A5FB0" w:rsidRDefault="009A5FB0">
            <w:pPr>
              <w:widowControl/>
              <w:jc w:val="left"/>
              <w:rPr>
                <w:rFonts w:ascii="宋体" w:hAnsi="宋体"/>
                <w:szCs w:val="21"/>
              </w:rPr>
            </w:pPr>
          </w:p>
        </w:tc>
      </w:tr>
      <w:tr w:rsidR="009A5FB0" w14:paraId="3CD128F7"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6DD6DACE"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6694F670" w14:textId="77777777" w:rsidR="009A5FB0" w:rsidRDefault="00BF1721">
            <w:pPr>
              <w:widowControl/>
              <w:jc w:val="left"/>
              <w:rPr>
                <w:rFonts w:ascii="宋体" w:hAnsi="宋体"/>
                <w:szCs w:val="21"/>
              </w:rPr>
            </w:pPr>
            <w:r>
              <w:rPr>
                <w:rFonts w:ascii="宋体" w:hAnsi="宋体" w:hint="eastAsia"/>
                <w:szCs w:val="21"/>
              </w:rPr>
              <w:t>衬胶水带（</w:t>
            </w:r>
            <w:r>
              <w:rPr>
                <w:rFonts w:ascii="宋体" w:hAnsi="宋体" w:hint="eastAsia"/>
                <w:szCs w:val="21"/>
              </w:rPr>
              <w:t>13</w:t>
            </w:r>
            <w:r>
              <w:rPr>
                <w:rFonts w:ascii="宋体" w:hAnsi="宋体" w:hint="eastAsia"/>
                <w:szCs w:val="21"/>
              </w:rPr>
              <w:t>）型</w:t>
            </w:r>
          </w:p>
        </w:tc>
        <w:tc>
          <w:tcPr>
            <w:tcW w:w="3225" w:type="dxa"/>
            <w:tcBorders>
              <w:top w:val="single" w:sz="4" w:space="0" w:color="000000"/>
              <w:left w:val="nil"/>
              <w:bottom w:val="single" w:sz="4" w:space="0" w:color="000000"/>
              <w:right w:val="single" w:sz="4" w:space="0" w:color="000000"/>
            </w:tcBorders>
            <w:noWrap/>
            <w:vAlign w:val="center"/>
          </w:tcPr>
          <w:p w14:paraId="7BBF0C36" w14:textId="77777777" w:rsidR="009A5FB0" w:rsidRDefault="00BF1721">
            <w:pPr>
              <w:widowControl/>
              <w:jc w:val="left"/>
              <w:rPr>
                <w:rFonts w:ascii="宋体" w:hAnsi="宋体"/>
                <w:szCs w:val="21"/>
              </w:rPr>
            </w:pPr>
            <w:r>
              <w:rPr>
                <w:rFonts w:ascii="宋体" w:hAnsi="宋体" w:hint="eastAsia"/>
                <w:szCs w:val="21"/>
              </w:rPr>
              <w:t>义乌水龙江山、江苏高邮江山、安徽黄山龙潭</w:t>
            </w:r>
          </w:p>
        </w:tc>
        <w:tc>
          <w:tcPr>
            <w:tcW w:w="2341" w:type="dxa"/>
            <w:tcBorders>
              <w:top w:val="single" w:sz="4" w:space="0" w:color="000000"/>
              <w:left w:val="nil"/>
              <w:bottom w:val="single" w:sz="4" w:space="0" w:color="000000"/>
              <w:right w:val="single" w:sz="4" w:space="0" w:color="000000"/>
            </w:tcBorders>
            <w:noWrap/>
            <w:vAlign w:val="center"/>
          </w:tcPr>
          <w:p w14:paraId="6B44788A" w14:textId="77777777" w:rsidR="009A5FB0" w:rsidRDefault="009A5FB0">
            <w:pPr>
              <w:widowControl/>
              <w:jc w:val="left"/>
              <w:rPr>
                <w:rFonts w:ascii="宋体" w:hAnsi="宋体"/>
                <w:szCs w:val="21"/>
              </w:rPr>
            </w:pPr>
          </w:p>
        </w:tc>
      </w:tr>
      <w:tr w:rsidR="009A5FB0" w14:paraId="293F9EAB"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3F1D55AF"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636CFF20" w14:textId="77777777" w:rsidR="009A5FB0" w:rsidRDefault="00BF1721">
            <w:pPr>
              <w:widowControl/>
              <w:jc w:val="left"/>
              <w:rPr>
                <w:rFonts w:ascii="宋体" w:hAnsi="宋体"/>
                <w:szCs w:val="21"/>
              </w:rPr>
            </w:pPr>
            <w:r>
              <w:rPr>
                <w:rFonts w:ascii="宋体" w:hAnsi="宋体" w:hint="eastAsia"/>
                <w:szCs w:val="21"/>
              </w:rPr>
              <w:t>消防水枪</w:t>
            </w:r>
          </w:p>
        </w:tc>
        <w:tc>
          <w:tcPr>
            <w:tcW w:w="3225" w:type="dxa"/>
            <w:tcBorders>
              <w:top w:val="single" w:sz="4" w:space="0" w:color="000000"/>
              <w:left w:val="nil"/>
              <w:bottom w:val="single" w:sz="4" w:space="0" w:color="000000"/>
              <w:right w:val="single" w:sz="4" w:space="0" w:color="000000"/>
            </w:tcBorders>
            <w:noWrap/>
            <w:vAlign w:val="center"/>
          </w:tcPr>
          <w:p w14:paraId="678465AF" w14:textId="77777777" w:rsidR="009A5FB0" w:rsidRDefault="00BF1721">
            <w:pPr>
              <w:widowControl/>
              <w:jc w:val="left"/>
              <w:rPr>
                <w:rFonts w:ascii="宋体" w:hAnsi="宋体"/>
                <w:szCs w:val="21"/>
              </w:rPr>
            </w:pPr>
            <w:r>
              <w:rPr>
                <w:rFonts w:ascii="宋体" w:hAnsi="宋体" w:hint="eastAsia"/>
                <w:szCs w:val="21"/>
              </w:rPr>
              <w:t>上饶江安、福建水力、江苏高邮江山</w:t>
            </w:r>
          </w:p>
        </w:tc>
        <w:tc>
          <w:tcPr>
            <w:tcW w:w="2341" w:type="dxa"/>
            <w:tcBorders>
              <w:top w:val="single" w:sz="4" w:space="0" w:color="000000"/>
              <w:left w:val="nil"/>
              <w:bottom w:val="single" w:sz="4" w:space="0" w:color="000000"/>
              <w:right w:val="single" w:sz="4" w:space="0" w:color="000000"/>
            </w:tcBorders>
            <w:noWrap/>
            <w:vAlign w:val="center"/>
          </w:tcPr>
          <w:p w14:paraId="5D3DDC77" w14:textId="77777777" w:rsidR="009A5FB0" w:rsidRDefault="009A5FB0">
            <w:pPr>
              <w:widowControl/>
              <w:jc w:val="left"/>
              <w:rPr>
                <w:rFonts w:ascii="宋体" w:hAnsi="宋体"/>
                <w:szCs w:val="21"/>
              </w:rPr>
            </w:pPr>
          </w:p>
        </w:tc>
      </w:tr>
      <w:tr w:rsidR="009A5FB0" w14:paraId="4E88482D"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08B6CD02"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67E372C2" w14:textId="77777777" w:rsidR="009A5FB0" w:rsidRDefault="00BF1721">
            <w:pPr>
              <w:widowControl/>
              <w:jc w:val="left"/>
              <w:rPr>
                <w:rFonts w:ascii="宋体" w:hAnsi="宋体"/>
                <w:szCs w:val="21"/>
              </w:rPr>
            </w:pPr>
            <w:r>
              <w:rPr>
                <w:rFonts w:ascii="宋体" w:hAnsi="宋体" w:hint="eastAsia"/>
                <w:szCs w:val="21"/>
              </w:rPr>
              <w:t>二氧化碳灭火器</w:t>
            </w:r>
          </w:p>
        </w:tc>
        <w:tc>
          <w:tcPr>
            <w:tcW w:w="3225" w:type="dxa"/>
            <w:tcBorders>
              <w:top w:val="single" w:sz="4" w:space="0" w:color="000000"/>
              <w:left w:val="nil"/>
              <w:bottom w:val="single" w:sz="4" w:space="0" w:color="000000"/>
              <w:right w:val="single" w:sz="4" w:space="0" w:color="000000"/>
            </w:tcBorders>
            <w:noWrap/>
            <w:vAlign w:val="center"/>
          </w:tcPr>
          <w:p w14:paraId="1BB65CB0" w14:textId="77777777" w:rsidR="009A5FB0" w:rsidRDefault="00BF1721">
            <w:pPr>
              <w:widowControl/>
              <w:jc w:val="left"/>
              <w:rPr>
                <w:rFonts w:ascii="宋体" w:hAnsi="宋体"/>
                <w:szCs w:val="21"/>
              </w:rPr>
            </w:pPr>
            <w:r>
              <w:rPr>
                <w:rFonts w:ascii="宋体" w:hAnsi="宋体" w:hint="eastAsia"/>
                <w:szCs w:val="21"/>
              </w:rPr>
              <w:t>浙江浙安、玉环富捷、惠州鑫辉</w:t>
            </w:r>
          </w:p>
        </w:tc>
        <w:tc>
          <w:tcPr>
            <w:tcW w:w="2341" w:type="dxa"/>
            <w:tcBorders>
              <w:top w:val="single" w:sz="4" w:space="0" w:color="000000"/>
              <w:left w:val="nil"/>
              <w:bottom w:val="single" w:sz="4" w:space="0" w:color="000000"/>
              <w:right w:val="single" w:sz="4" w:space="0" w:color="000000"/>
            </w:tcBorders>
            <w:noWrap/>
            <w:vAlign w:val="center"/>
          </w:tcPr>
          <w:p w14:paraId="3E0E881B" w14:textId="77777777" w:rsidR="009A5FB0" w:rsidRDefault="00BF1721">
            <w:pPr>
              <w:widowControl/>
              <w:jc w:val="left"/>
              <w:rPr>
                <w:rFonts w:ascii="宋体" w:hAnsi="宋体"/>
                <w:szCs w:val="21"/>
              </w:rPr>
            </w:pPr>
            <w:r>
              <w:rPr>
                <w:rFonts w:ascii="宋体" w:hAnsi="宋体" w:hint="eastAsia"/>
                <w:szCs w:val="21"/>
              </w:rPr>
              <w:t xml:space="preserve">　</w:t>
            </w:r>
          </w:p>
        </w:tc>
      </w:tr>
      <w:tr w:rsidR="009A5FB0" w14:paraId="723CAB83"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5D45D46A"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5AF2E031" w14:textId="77777777" w:rsidR="009A5FB0" w:rsidRDefault="00BF1721">
            <w:pPr>
              <w:widowControl/>
              <w:jc w:val="left"/>
              <w:rPr>
                <w:rFonts w:ascii="宋体" w:hAnsi="宋体"/>
                <w:szCs w:val="21"/>
              </w:rPr>
            </w:pPr>
            <w:r>
              <w:rPr>
                <w:rFonts w:ascii="宋体" w:hAnsi="宋体" w:hint="eastAsia"/>
                <w:szCs w:val="21"/>
              </w:rPr>
              <w:t>气体灭火系统</w:t>
            </w:r>
          </w:p>
        </w:tc>
        <w:tc>
          <w:tcPr>
            <w:tcW w:w="3225" w:type="dxa"/>
            <w:tcBorders>
              <w:top w:val="single" w:sz="4" w:space="0" w:color="000000"/>
              <w:left w:val="nil"/>
              <w:bottom w:val="single" w:sz="4" w:space="0" w:color="000000"/>
              <w:right w:val="single" w:sz="4" w:space="0" w:color="000000"/>
            </w:tcBorders>
            <w:noWrap/>
            <w:vAlign w:val="center"/>
          </w:tcPr>
          <w:p w14:paraId="328F910B" w14:textId="77777777" w:rsidR="009A5FB0" w:rsidRDefault="00BF1721">
            <w:pPr>
              <w:widowControl/>
              <w:jc w:val="left"/>
              <w:rPr>
                <w:rFonts w:ascii="宋体" w:hAnsi="宋体"/>
                <w:szCs w:val="21"/>
              </w:rPr>
            </w:pPr>
            <w:r>
              <w:rPr>
                <w:rFonts w:ascii="宋体" w:hAnsi="宋体" w:hint="eastAsia"/>
                <w:szCs w:val="21"/>
              </w:rPr>
              <w:t>海湾、泰和安、金鼎、利达</w:t>
            </w:r>
          </w:p>
        </w:tc>
        <w:tc>
          <w:tcPr>
            <w:tcW w:w="2341" w:type="dxa"/>
            <w:tcBorders>
              <w:top w:val="single" w:sz="4" w:space="0" w:color="000000"/>
              <w:left w:val="nil"/>
              <w:bottom w:val="single" w:sz="4" w:space="0" w:color="000000"/>
              <w:right w:val="single" w:sz="4" w:space="0" w:color="000000"/>
            </w:tcBorders>
            <w:noWrap/>
            <w:vAlign w:val="center"/>
          </w:tcPr>
          <w:p w14:paraId="48BC1349" w14:textId="77777777" w:rsidR="009A5FB0" w:rsidRDefault="009A5FB0">
            <w:pPr>
              <w:widowControl/>
              <w:jc w:val="left"/>
              <w:rPr>
                <w:rFonts w:ascii="宋体" w:hAnsi="宋体"/>
                <w:szCs w:val="21"/>
              </w:rPr>
            </w:pPr>
          </w:p>
        </w:tc>
      </w:tr>
      <w:tr w:rsidR="009A5FB0" w14:paraId="0B2B548D"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1C8CB22F"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5C9C76A3" w14:textId="77777777" w:rsidR="009A5FB0" w:rsidRDefault="00BF1721">
            <w:pPr>
              <w:widowControl/>
              <w:jc w:val="left"/>
              <w:rPr>
                <w:rFonts w:ascii="宋体" w:hAnsi="宋体"/>
                <w:szCs w:val="21"/>
              </w:rPr>
            </w:pPr>
            <w:r>
              <w:rPr>
                <w:rFonts w:ascii="宋体" w:hAnsi="宋体" w:hint="eastAsia"/>
                <w:szCs w:val="21"/>
              </w:rPr>
              <w:t>成品防火门</w:t>
            </w:r>
          </w:p>
        </w:tc>
        <w:tc>
          <w:tcPr>
            <w:tcW w:w="3225" w:type="dxa"/>
            <w:tcBorders>
              <w:top w:val="single" w:sz="4" w:space="0" w:color="000000"/>
              <w:left w:val="nil"/>
              <w:bottom w:val="single" w:sz="4" w:space="0" w:color="000000"/>
              <w:right w:val="single" w:sz="4" w:space="0" w:color="000000"/>
            </w:tcBorders>
            <w:noWrap/>
            <w:vAlign w:val="center"/>
          </w:tcPr>
          <w:p w14:paraId="79802294" w14:textId="77777777" w:rsidR="009A5FB0" w:rsidRDefault="00BF1721">
            <w:pPr>
              <w:widowControl/>
              <w:jc w:val="left"/>
              <w:rPr>
                <w:rFonts w:ascii="宋体" w:hAnsi="宋体"/>
                <w:szCs w:val="21"/>
              </w:rPr>
            </w:pPr>
            <w:r>
              <w:rPr>
                <w:rFonts w:ascii="宋体" w:hAnsi="宋体" w:hint="eastAsia"/>
                <w:szCs w:val="21"/>
              </w:rPr>
              <w:t>达国标优质</w:t>
            </w:r>
          </w:p>
        </w:tc>
        <w:tc>
          <w:tcPr>
            <w:tcW w:w="2341" w:type="dxa"/>
            <w:tcBorders>
              <w:top w:val="single" w:sz="4" w:space="0" w:color="000000"/>
              <w:left w:val="nil"/>
              <w:bottom w:val="single" w:sz="4" w:space="0" w:color="000000"/>
              <w:right w:val="single" w:sz="4" w:space="0" w:color="000000"/>
            </w:tcBorders>
            <w:noWrap/>
            <w:vAlign w:val="center"/>
          </w:tcPr>
          <w:p w14:paraId="43BB8007" w14:textId="77777777" w:rsidR="009A5FB0" w:rsidRDefault="00BF1721">
            <w:pPr>
              <w:widowControl/>
              <w:jc w:val="left"/>
              <w:rPr>
                <w:rFonts w:ascii="宋体" w:hAnsi="宋体"/>
                <w:szCs w:val="21"/>
              </w:rPr>
            </w:pPr>
            <w:r>
              <w:rPr>
                <w:rFonts w:ascii="宋体" w:hAnsi="宋体" w:hint="eastAsia"/>
                <w:szCs w:val="21"/>
              </w:rPr>
              <w:t xml:space="preserve">　</w:t>
            </w:r>
          </w:p>
        </w:tc>
      </w:tr>
      <w:tr w:rsidR="009A5FB0" w14:paraId="3D4941BD"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18576E0E"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6D25D7D7" w14:textId="77777777" w:rsidR="009A5FB0" w:rsidRDefault="00BF1721">
            <w:pPr>
              <w:widowControl/>
              <w:jc w:val="left"/>
              <w:rPr>
                <w:rFonts w:ascii="宋体" w:hAnsi="宋体"/>
                <w:szCs w:val="21"/>
              </w:rPr>
            </w:pPr>
            <w:r>
              <w:rPr>
                <w:rFonts w:ascii="宋体" w:hAnsi="宋体" w:hint="eastAsia"/>
                <w:szCs w:val="21"/>
              </w:rPr>
              <w:t>球墨铸铁管</w:t>
            </w:r>
          </w:p>
        </w:tc>
        <w:tc>
          <w:tcPr>
            <w:tcW w:w="3225" w:type="dxa"/>
            <w:tcBorders>
              <w:top w:val="single" w:sz="4" w:space="0" w:color="000000"/>
              <w:left w:val="nil"/>
              <w:bottom w:val="single" w:sz="4" w:space="0" w:color="000000"/>
              <w:right w:val="single" w:sz="4" w:space="0" w:color="000000"/>
            </w:tcBorders>
            <w:noWrap/>
            <w:vAlign w:val="center"/>
          </w:tcPr>
          <w:p w14:paraId="5FD63B41" w14:textId="77777777" w:rsidR="009A5FB0" w:rsidRDefault="00BF1721">
            <w:pPr>
              <w:widowControl/>
              <w:jc w:val="left"/>
              <w:rPr>
                <w:rFonts w:ascii="宋体" w:hAnsi="宋体"/>
                <w:szCs w:val="21"/>
              </w:rPr>
            </w:pPr>
            <w:r>
              <w:rPr>
                <w:rFonts w:ascii="宋体" w:hAnsi="宋体" w:hint="eastAsia"/>
                <w:szCs w:val="21"/>
              </w:rPr>
              <w:t>新兴、圣戈班、永通</w:t>
            </w:r>
          </w:p>
        </w:tc>
        <w:tc>
          <w:tcPr>
            <w:tcW w:w="2341" w:type="dxa"/>
            <w:tcBorders>
              <w:top w:val="single" w:sz="4" w:space="0" w:color="000000"/>
              <w:left w:val="nil"/>
              <w:bottom w:val="single" w:sz="4" w:space="0" w:color="000000"/>
              <w:right w:val="single" w:sz="4" w:space="0" w:color="000000"/>
            </w:tcBorders>
            <w:noWrap/>
            <w:vAlign w:val="center"/>
          </w:tcPr>
          <w:p w14:paraId="38AC1909" w14:textId="77777777" w:rsidR="009A5FB0" w:rsidRDefault="009A5FB0">
            <w:pPr>
              <w:widowControl/>
              <w:jc w:val="left"/>
              <w:rPr>
                <w:rFonts w:ascii="宋体" w:hAnsi="宋体"/>
                <w:szCs w:val="21"/>
              </w:rPr>
            </w:pPr>
          </w:p>
        </w:tc>
      </w:tr>
      <w:tr w:rsidR="009A5FB0" w14:paraId="003C1008"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3E6BD6D6"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4A1DAE27" w14:textId="77777777" w:rsidR="009A5FB0" w:rsidRDefault="00BF1721">
            <w:pPr>
              <w:widowControl/>
              <w:jc w:val="left"/>
              <w:rPr>
                <w:rFonts w:ascii="宋体" w:hAnsi="宋体"/>
                <w:szCs w:val="21"/>
              </w:rPr>
            </w:pPr>
            <w:r>
              <w:rPr>
                <w:rFonts w:ascii="宋体" w:hAnsi="宋体" w:hint="eastAsia"/>
                <w:szCs w:val="21"/>
              </w:rPr>
              <w:t>HDPE</w:t>
            </w:r>
            <w:r>
              <w:rPr>
                <w:rFonts w:ascii="宋体" w:hAnsi="宋体" w:hint="eastAsia"/>
                <w:szCs w:val="21"/>
              </w:rPr>
              <w:t>双壁波纹排水管</w:t>
            </w:r>
          </w:p>
        </w:tc>
        <w:tc>
          <w:tcPr>
            <w:tcW w:w="3225" w:type="dxa"/>
            <w:tcBorders>
              <w:top w:val="single" w:sz="4" w:space="0" w:color="000000"/>
              <w:left w:val="nil"/>
              <w:bottom w:val="single" w:sz="4" w:space="0" w:color="000000"/>
              <w:right w:val="single" w:sz="4" w:space="0" w:color="000000"/>
            </w:tcBorders>
            <w:noWrap/>
            <w:vAlign w:val="center"/>
          </w:tcPr>
          <w:p w14:paraId="6FAEE2E9" w14:textId="77777777" w:rsidR="009A5FB0" w:rsidRDefault="00BF1721">
            <w:pPr>
              <w:widowControl/>
              <w:jc w:val="left"/>
              <w:rPr>
                <w:rFonts w:ascii="宋体" w:hAnsi="宋体"/>
                <w:szCs w:val="21"/>
              </w:rPr>
            </w:pPr>
            <w:r>
              <w:rPr>
                <w:rFonts w:ascii="宋体" w:hAnsi="宋体" w:hint="eastAsia"/>
                <w:szCs w:val="21"/>
              </w:rPr>
              <w:t>中财、公元、联塑、伟星</w:t>
            </w:r>
          </w:p>
        </w:tc>
        <w:tc>
          <w:tcPr>
            <w:tcW w:w="2341" w:type="dxa"/>
            <w:tcBorders>
              <w:top w:val="single" w:sz="4" w:space="0" w:color="000000"/>
              <w:left w:val="nil"/>
              <w:bottom w:val="single" w:sz="4" w:space="0" w:color="000000"/>
              <w:right w:val="single" w:sz="4" w:space="0" w:color="000000"/>
            </w:tcBorders>
            <w:noWrap/>
            <w:vAlign w:val="center"/>
          </w:tcPr>
          <w:p w14:paraId="2343EF32" w14:textId="77777777" w:rsidR="009A5FB0" w:rsidRDefault="009A5FB0">
            <w:pPr>
              <w:widowControl/>
              <w:jc w:val="left"/>
              <w:rPr>
                <w:rFonts w:ascii="宋体" w:hAnsi="宋体"/>
                <w:szCs w:val="21"/>
              </w:rPr>
            </w:pPr>
          </w:p>
        </w:tc>
      </w:tr>
      <w:tr w:rsidR="009A5FB0" w14:paraId="2553D59F"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1B3FC598"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788C2505" w14:textId="77777777" w:rsidR="009A5FB0" w:rsidRDefault="00BF1721">
            <w:pPr>
              <w:widowControl/>
              <w:jc w:val="left"/>
              <w:rPr>
                <w:rFonts w:ascii="宋体" w:hAnsi="宋体"/>
                <w:szCs w:val="21"/>
              </w:rPr>
            </w:pPr>
            <w:r>
              <w:rPr>
                <w:rFonts w:ascii="宋体" w:hAnsi="宋体" w:hint="eastAsia"/>
                <w:szCs w:val="21"/>
              </w:rPr>
              <w:t>排气扇</w:t>
            </w:r>
          </w:p>
        </w:tc>
        <w:tc>
          <w:tcPr>
            <w:tcW w:w="3225" w:type="dxa"/>
            <w:tcBorders>
              <w:top w:val="single" w:sz="4" w:space="0" w:color="000000"/>
              <w:left w:val="nil"/>
              <w:bottom w:val="single" w:sz="4" w:space="0" w:color="000000"/>
              <w:right w:val="single" w:sz="4" w:space="0" w:color="000000"/>
            </w:tcBorders>
            <w:noWrap/>
            <w:vAlign w:val="center"/>
          </w:tcPr>
          <w:p w14:paraId="33752003" w14:textId="77777777" w:rsidR="009A5FB0" w:rsidRDefault="00BF1721">
            <w:pPr>
              <w:widowControl/>
              <w:jc w:val="left"/>
              <w:rPr>
                <w:rFonts w:ascii="宋体" w:hAnsi="宋体"/>
                <w:szCs w:val="21"/>
              </w:rPr>
            </w:pPr>
            <w:r>
              <w:rPr>
                <w:rFonts w:ascii="宋体" w:hAnsi="宋体" w:hint="eastAsia"/>
                <w:szCs w:val="21"/>
              </w:rPr>
              <w:t>正野、绿岛风、松下</w:t>
            </w:r>
          </w:p>
        </w:tc>
        <w:tc>
          <w:tcPr>
            <w:tcW w:w="2341" w:type="dxa"/>
            <w:tcBorders>
              <w:top w:val="single" w:sz="4" w:space="0" w:color="000000"/>
              <w:left w:val="nil"/>
              <w:bottom w:val="single" w:sz="4" w:space="0" w:color="000000"/>
              <w:right w:val="single" w:sz="4" w:space="0" w:color="000000"/>
            </w:tcBorders>
            <w:noWrap/>
            <w:vAlign w:val="center"/>
          </w:tcPr>
          <w:p w14:paraId="2F59DBD9" w14:textId="77777777" w:rsidR="009A5FB0" w:rsidRDefault="009A5FB0">
            <w:pPr>
              <w:widowControl/>
              <w:jc w:val="left"/>
              <w:rPr>
                <w:rFonts w:ascii="宋体" w:hAnsi="宋体"/>
                <w:szCs w:val="21"/>
              </w:rPr>
            </w:pPr>
          </w:p>
        </w:tc>
      </w:tr>
      <w:tr w:rsidR="009A5FB0" w14:paraId="7D47686B"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1C36FAAC"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043B5E06" w14:textId="77777777" w:rsidR="009A5FB0" w:rsidRDefault="00BF1721">
            <w:pPr>
              <w:widowControl/>
              <w:spacing w:line="360" w:lineRule="auto"/>
              <w:jc w:val="left"/>
              <w:textAlignment w:val="center"/>
              <w:rPr>
                <w:rFonts w:ascii="宋体" w:hAnsi="宋体" w:cs="宋体"/>
                <w:szCs w:val="21"/>
              </w:rPr>
            </w:pPr>
            <w:r>
              <w:rPr>
                <w:rFonts w:ascii="宋体" w:hAnsi="宋体" w:cs="宋体" w:hint="eastAsia"/>
                <w:kern w:val="0"/>
                <w:szCs w:val="21"/>
                <w:lang w:bidi="ar"/>
              </w:rPr>
              <w:t>光缆、跳线、配线架、终端盒、光缆标牌</w:t>
            </w:r>
          </w:p>
        </w:tc>
        <w:tc>
          <w:tcPr>
            <w:tcW w:w="3225" w:type="dxa"/>
            <w:tcBorders>
              <w:top w:val="single" w:sz="4" w:space="0" w:color="000000"/>
              <w:left w:val="nil"/>
              <w:bottom w:val="single" w:sz="4" w:space="0" w:color="000000"/>
              <w:right w:val="single" w:sz="4" w:space="0" w:color="000000"/>
            </w:tcBorders>
            <w:noWrap/>
            <w:vAlign w:val="center"/>
          </w:tcPr>
          <w:p w14:paraId="7492AEDE" w14:textId="77777777" w:rsidR="009A5FB0" w:rsidRDefault="00BF1721">
            <w:pPr>
              <w:widowControl/>
              <w:spacing w:line="360" w:lineRule="auto"/>
              <w:jc w:val="left"/>
              <w:textAlignment w:val="center"/>
              <w:rPr>
                <w:rFonts w:ascii="宋体" w:hAnsi="宋体" w:cs="宋体"/>
                <w:szCs w:val="21"/>
              </w:rPr>
            </w:pPr>
            <w:r>
              <w:rPr>
                <w:rFonts w:ascii="宋体" w:hAnsi="宋体" w:cs="宋体" w:hint="eastAsia"/>
                <w:kern w:val="0"/>
                <w:szCs w:val="21"/>
                <w:lang w:bidi="ar"/>
              </w:rPr>
              <w:t>清华同方、普天、大唐电信</w:t>
            </w:r>
          </w:p>
        </w:tc>
        <w:tc>
          <w:tcPr>
            <w:tcW w:w="2341" w:type="dxa"/>
            <w:tcBorders>
              <w:top w:val="single" w:sz="4" w:space="0" w:color="000000"/>
              <w:left w:val="nil"/>
              <w:bottom w:val="single" w:sz="4" w:space="0" w:color="000000"/>
              <w:right w:val="single" w:sz="4" w:space="0" w:color="000000"/>
            </w:tcBorders>
            <w:noWrap/>
            <w:vAlign w:val="center"/>
          </w:tcPr>
          <w:p w14:paraId="3A4B7EAC" w14:textId="77777777" w:rsidR="009A5FB0" w:rsidRDefault="009A5FB0">
            <w:pPr>
              <w:spacing w:line="360" w:lineRule="auto"/>
              <w:ind w:firstLine="400"/>
              <w:jc w:val="left"/>
              <w:rPr>
                <w:rFonts w:ascii="宋体" w:hAnsi="宋体" w:cs="宋体"/>
                <w:szCs w:val="21"/>
              </w:rPr>
            </w:pPr>
          </w:p>
        </w:tc>
      </w:tr>
      <w:tr w:rsidR="009A5FB0" w14:paraId="58D2555F"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377DCC34"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700FC021" w14:textId="77777777" w:rsidR="009A5FB0" w:rsidRDefault="00BF1721">
            <w:pPr>
              <w:widowControl/>
              <w:spacing w:line="360" w:lineRule="auto"/>
              <w:jc w:val="left"/>
              <w:textAlignment w:val="center"/>
              <w:rPr>
                <w:rFonts w:ascii="宋体" w:hAnsi="宋体" w:cs="宋体"/>
                <w:szCs w:val="21"/>
              </w:rPr>
            </w:pPr>
            <w:r>
              <w:rPr>
                <w:rFonts w:ascii="宋体" w:hAnsi="宋体" w:cs="宋体" w:hint="eastAsia"/>
                <w:kern w:val="0"/>
                <w:szCs w:val="21"/>
                <w:lang w:bidi="ar"/>
              </w:rPr>
              <w:t>六类非屏蔽双绞线、理线架、模块、信息面板、水晶头</w:t>
            </w:r>
          </w:p>
        </w:tc>
        <w:tc>
          <w:tcPr>
            <w:tcW w:w="3225" w:type="dxa"/>
            <w:tcBorders>
              <w:top w:val="single" w:sz="4" w:space="0" w:color="000000"/>
              <w:left w:val="nil"/>
              <w:bottom w:val="single" w:sz="4" w:space="0" w:color="000000"/>
              <w:right w:val="single" w:sz="4" w:space="0" w:color="000000"/>
            </w:tcBorders>
            <w:noWrap/>
            <w:vAlign w:val="center"/>
          </w:tcPr>
          <w:p w14:paraId="274A98A4" w14:textId="77777777" w:rsidR="009A5FB0" w:rsidRDefault="00BF1721">
            <w:pPr>
              <w:widowControl/>
              <w:spacing w:line="360" w:lineRule="auto"/>
              <w:jc w:val="left"/>
              <w:textAlignment w:val="center"/>
              <w:rPr>
                <w:rFonts w:ascii="宋体" w:hAnsi="宋体" w:cs="宋体"/>
                <w:szCs w:val="21"/>
              </w:rPr>
            </w:pPr>
            <w:r>
              <w:rPr>
                <w:rFonts w:ascii="宋体" w:hAnsi="宋体" w:cs="宋体" w:hint="eastAsia"/>
                <w:kern w:val="0"/>
                <w:szCs w:val="21"/>
                <w:lang w:bidi="ar"/>
              </w:rPr>
              <w:t>清华同方、普天、大唐电信</w:t>
            </w:r>
          </w:p>
        </w:tc>
        <w:tc>
          <w:tcPr>
            <w:tcW w:w="2341" w:type="dxa"/>
            <w:tcBorders>
              <w:top w:val="single" w:sz="4" w:space="0" w:color="000000"/>
              <w:left w:val="nil"/>
              <w:bottom w:val="single" w:sz="4" w:space="0" w:color="000000"/>
              <w:right w:val="single" w:sz="4" w:space="0" w:color="000000"/>
            </w:tcBorders>
            <w:noWrap/>
            <w:vAlign w:val="center"/>
          </w:tcPr>
          <w:p w14:paraId="73CE9FB8" w14:textId="77777777" w:rsidR="009A5FB0" w:rsidRDefault="009A5FB0">
            <w:pPr>
              <w:spacing w:line="360" w:lineRule="auto"/>
              <w:ind w:firstLine="400"/>
              <w:jc w:val="left"/>
              <w:rPr>
                <w:rFonts w:ascii="宋体" w:hAnsi="宋体" w:cs="宋体"/>
                <w:szCs w:val="21"/>
              </w:rPr>
            </w:pPr>
          </w:p>
        </w:tc>
      </w:tr>
      <w:tr w:rsidR="009A5FB0" w14:paraId="191AA291" w14:textId="77777777">
        <w:trPr>
          <w:trHeight w:val="1080"/>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1821FD59"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6B00FF05" w14:textId="77777777" w:rsidR="009A5FB0" w:rsidRDefault="00BF1721">
            <w:pPr>
              <w:widowControl/>
              <w:spacing w:line="360" w:lineRule="auto"/>
              <w:jc w:val="left"/>
              <w:textAlignment w:val="center"/>
              <w:rPr>
                <w:rFonts w:ascii="宋体" w:hAnsi="宋体" w:cs="宋体"/>
                <w:szCs w:val="21"/>
              </w:rPr>
            </w:pPr>
            <w:r>
              <w:rPr>
                <w:rFonts w:ascii="宋体" w:hAnsi="宋体" w:cs="宋体" w:hint="eastAsia"/>
                <w:kern w:val="0"/>
                <w:szCs w:val="21"/>
                <w:lang w:bidi="ar"/>
              </w:rPr>
              <w:t>视频监视设备</w:t>
            </w:r>
            <w:r>
              <w:rPr>
                <w:rFonts w:ascii="宋体" w:hAnsi="宋体" w:cs="宋体" w:hint="eastAsia"/>
                <w:kern w:val="0"/>
                <w:szCs w:val="21"/>
                <w:lang w:bidi="ar"/>
              </w:rPr>
              <w:t>(</w:t>
            </w:r>
            <w:r>
              <w:rPr>
                <w:rFonts w:ascii="宋体" w:hAnsi="宋体" w:cs="宋体" w:hint="eastAsia"/>
                <w:kern w:val="0"/>
                <w:szCs w:val="21"/>
                <w:lang w:bidi="ar"/>
              </w:rPr>
              <w:t>含所需前端设备、各种接口、软件），拼接屏、监控屏</w:t>
            </w:r>
          </w:p>
        </w:tc>
        <w:tc>
          <w:tcPr>
            <w:tcW w:w="3225" w:type="dxa"/>
            <w:tcBorders>
              <w:top w:val="single" w:sz="4" w:space="0" w:color="000000"/>
              <w:left w:val="nil"/>
              <w:bottom w:val="single" w:sz="4" w:space="0" w:color="000000"/>
              <w:right w:val="single" w:sz="4" w:space="0" w:color="000000"/>
            </w:tcBorders>
            <w:noWrap/>
            <w:vAlign w:val="center"/>
          </w:tcPr>
          <w:p w14:paraId="20444BCB" w14:textId="77777777" w:rsidR="009A5FB0" w:rsidRDefault="00BF1721">
            <w:pPr>
              <w:widowControl/>
              <w:spacing w:line="360" w:lineRule="auto"/>
              <w:jc w:val="left"/>
              <w:textAlignment w:val="center"/>
              <w:rPr>
                <w:rFonts w:ascii="宋体" w:hAnsi="宋体" w:cs="宋体"/>
                <w:szCs w:val="21"/>
              </w:rPr>
            </w:pPr>
            <w:r>
              <w:rPr>
                <w:rFonts w:ascii="宋体" w:hAnsi="宋体" w:cs="宋体" w:hint="eastAsia"/>
                <w:kern w:val="0"/>
                <w:szCs w:val="21"/>
                <w:lang w:bidi="ar"/>
              </w:rPr>
              <w:t>海康威视、大华、宇视</w:t>
            </w:r>
          </w:p>
        </w:tc>
        <w:tc>
          <w:tcPr>
            <w:tcW w:w="2341" w:type="dxa"/>
            <w:tcBorders>
              <w:top w:val="single" w:sz="4" w:space="0" w:color="000000"/>
              <w:left w:val="nil"/>
              <w:bottom w:val="single" w:sz="4" w:space="0" w:color="000000"/>
              <w:right w:val="single" w:sz="4" w:space="0" w:color="000000"/>
            </w:tcBorders>
            <w:noWrap/>
            <w:vAlign w:val="center"/>
          </w:tcPr>
          <w:p w14:paraId="771C70A7" w14:textId="77777777" w:rsidR="009A5FB0" w:rsidRDefault="009A5FB0">
            <w:pPr>
              <w:spacing w:line="360" w:lineRule="auto"/>
              <w:ind w:firstLine="400"/>
              <w:jc w:val="left"/>
              <w:rPr>
                <w:rFonts w:ascii="宋体" w:hAnsi="宋体" w:cs="宋体"/>
                <w:szCs w:val="21"/>
              </w:rPr>
            </w:pPr>
          </w:p>
        </w:tc>
      </w:tr>
      <w:tr w:rsidR="009A5FB0" w14:paraId="7FB431CE"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2DDB5DBB"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53A7AC98" w14:textId="77777777" w:rsidR="009A5FB0" w:rsidRDefault="00BF1721">
            <w:pPr>
              <w:widowControl/>
              <w:spacing w:line="360" w:lineRule="auto"/>
              <w:jc w:val="left"/>
              <w:textAlignment w:val="center"/>
              <w:rPr>
                <w:rFonts w:ascii="宋体" w:hAnsi="宋体" w:cs="宋体"/>
                <w:szCs w:val="21"/>
              </w:rPr>
            </w:pPr>
            <w:r>
              <w:rPr>
                <w:rFonts w:ascii="宋体" w:hAnsi="宋体" w:cs="宋体" w:hint="eastAsia"/>
                <w:kern w:val="0"/>
                <w:szCs w:val="21"/>
                <w:lang w:bidi="ar"/>
              </w:rPr>
              <w:t>网络设备</w:t>
            </w:r>
          </w:p>
        </w:tc>
        <w:tc>
          <w:tcPr>
            <w:tcW w:w="3225" w:type="dxa"/>
            <w:tcBorders>
              <w:top w:val="single" w:sz="4" w:space="0" w:color="000000"/>
              <w:left w:val="nil"/>
              <w:bottom w:val="single" w:sz="4" w:space="0" w:color="000000"/>
              <w:right w:val="single" w:sz="4" w:space="0" w:color="000000"/>
            </w:tcBorders>
            <w:noWrap/>
            <w:vAlign w:val="center"/>
          </w:tcPr>
          <w:p w14:paraId="62951F01" w14:textId="77777777" w:rsidR="009A5FB0" w:rsidRDefault="00BF1721">
            <w:pPr>
              <w:widowControl/>
              <w:spacing w:line="360" w:lineRule="auto"/>
              <w:jc w:val="left"/>
              <w:textAlignment w:val="center"/>
              <w:rPr>
                <w:rFonts w:ascii="宋体" w:hAnsi="宋体" w:cs="宋体"/>
                <w:szCs w:val="21"/>
              </w:rPr>
            </w:pPr>
            <w:r>
              <w:rPr>
                <w:rFonts w:ascii="宋体" w:hAnsi="宋体" w:cs="宋体" w:hint="eastAsia"/>
                <w:kern w:val="0"/>
                <w:szCs w:val="21"/>
                <w:lang w:bidi="ar"/>
              </w:rPr>
              <w:t>华为、</w:t>
            </w:r>
            <w:r>
              <w:rPr>
                <w:rFonts w:ascii="宋体" w:hAnsi="宋体" w:cs="宋体" w:hint="eastAsia"/>
                <w:kern w:val="0"/>
                <w:szCs w:val="21"/>
                <w:lang w:bidi="ar"/>
              </w:rPr>
              <w:t>H3C</w:t>
            </w:r>
            <w:r>
              <w:rPr>
                <w:rFonts w:ascii="宋体" w:hAnsi="宋体" w:cs="宋体" w:hint="eastAsia"/>
                <w:kern w:val="0"/>
                <w:szCs w:val="21"/>
                <w:lang w:bidi="ar"/>
              </w:rPr>
              <w:t>同档次及以上品牌</w:t>
            </w:r>
          </w:p>
        </w:tc>
        <w:tc>
          <w:tcPr>
            <w:tcW w:w="2341" w:type="dxa"/>
            <w:tcBorders>
              <w:top w:val="single" w:sz="4" w:space="0" w:color="000000"/>
              <w:left w:val="nil"/>
              <w:bottom w:val="single" w:sz="4" w:space="0" w:color="000000"/>
              <w:right w:val="single" w:sz="4" w:space="0" w:color="000000"/>
            </w:tcBorders>
            <w:noWrap/>
            <w:vAlign w:val="center"/>
          </w:tcPr>
          <w:p w14:paraId="0DD356C3" w14:textId="77777777" w:rsidR="009A5FB0" w:rsidRDefault="00BF1721">
            <w:pPr>
              <w:spacing w:line="360" w:lineRule="auto"/>
              <w:jc w:val="left"/>
              <w:rPr>
                <w:rFonts w:ascii="宋体" w:hAnsi="宋体" w:cs="宋体"/>
                <w:szCs w:val="21"/>
              </w:rPr>
            </w:pPr>
            <w:r>
              <w:rPr>
                <w:rFonts w:ascii="宋体" w:hAnsi="宋体" w:cs="宋体" w:hint="eastAsia"/>
                <w:szCs w:val="21"/>
              </w:rPr>
              <w:t>须与校内现有设备保持兼容性</w:t>
            </w:r>
          </w:p>
        </w:tc>
      </w:tr>
      <w:tr w:rsidR="009A5FB0" w14:paraId="08D3610C"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3EE7AA2A"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5877F0B0" w14:textId="77777777" w:rsidR="009A5FB0" w:rsidRDefault="00BF1721">
            <w:pPr>
              <w:widowControl/>
              <w:spacing w:line="360" w:lineRule="auto"/>
              <w:jc w:val="left"/>
              <w:textAlignment w:val="center"/>
              <w:rPr>
                <w:rFonts w:ascii="宋体" w:hAnsi="宋体" w:cs="宋体"/>
                <w:szCs w:val="21"/>
              </w:rPr>
            </w:pPr>
            <w:r>
              <w:rPr>
                <w:rFonts w:ascii="宋体" w:hAnsi="宋体" w:cs="宋体" w:hint="eastAsia"/>
                <w:kern w:val="0"/>
                <w:szCs w:val="21"/>
                <w:lang w:bidi="ar"/>
              </w:rPr>
              <w:t>一卡通设备</w:t>
            </w:r>
          </w:p>
        </w:tc>
        <w:tc>
          <w:tcPr>
            <w:tcW w:w="3225" w:type="dxa"/>
            <w:tcBorders>
              <w:top w:val="single" w:sz="4" w:space="0" w:color="000000"/>
              <w:left w:val="nil"/>
              <w:bottom w:val="single" w:sz="4" w:space="0" w:color="000000"/>
              <w:right w:val="single" w:sz="4" w:space="0" w:color="000000"/>
            </w:tcBorders>
            <w:noWrap/>
            <w:vAlign w:val="center"/>
          </w:tcPr>
          <w:p w14:paraId="0C596B34" w14:textId="77777777" w:rsidR="009A5FB0" w:rsidRDefault="00BF1721">
            <w:pPr>
              <w:widowControl/>
              <w:spacing w:line="360" w:lineRule="auto"/>
              <w:jc w:val="left"/>
              <w:textAlignment w:val="center"/>
              <w:rPr>
                <w:rFonts w:ascii="宋体" w:hAnsi="宋体" w:cs="宋体"/>
                <w:szCs w:val="21"/>
              </w:rPr>
            </w:pPr>
            <w:r>
              <w:rPr>
                <w:rFonts w:ascii="宋体" w:hAnsi="宋体" w:cs="宋体" w:hint="eastAsia"/>
                <w:kern w:val="0"/>
                <w:szCs w:val="21"/>
                <w:lang w:bidi="ar"/>
              </w:rPr>
              <w:t>新中新、富士、捷顺</w:t>
            </w:r>
          </w:p>
        </w:tc>
        <w:tc>
          <w:tcPr>
            <w:tcW w:w="2341" w:type="dxa"/>
            <w:tcBorders>
              <w:top w:val="single" w:sz="4" w:space="0" w:color="000000"/>
              <w:left w:val="nil"/>
              <w:bottom w:val="single" w:sz="4" w:space="0" w:color="000000"/>
              <w:right w:val="single" w:sz="4" w:space="0" w:color="000000"/>
            </w:tcBorders>
            <w:noWrap/>
            <w:vAlign w:val="center"/>
          </w:tcPr>
          <w:p w14:paraId="5D726682" w14:textId="77777777" w:rsidR="009A5FB0" w:rsidRDefault="009A5FB0">
            <w:pPr>
              <w:spacing w:line="360" w:lineRule="auto"/>
              <w:ind w:firstLine="400"/>
              <w:jc w:val="left"/>
              <w:rPr>
                <w:rFonts w:ascii="宋体" w:hAnsi="宋体" w:cs="宋体"/>
                <w:szCs w:val="21"/>
              </w:rPr>
            </w:pPr>
          </w:p>
        </w:tc>
      </w:tr>
      <w:tr w:rsidR="009A5FB0" w14:paraId="4996F924"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303EB857"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7132B72C" w14:textId="77777777" w:rsidR="009A5FB0" w:rsidRDefault="00BF1721">
            <w:pPr>
              <w:widowControl/>
              <w:spacing w:line="360" w:lineRule="auto"/>
              <w:jc w:val="left"/>
              <w:textAlignment w:val="center"/>
              <w:rPr>
                <w:rFonts w:ascii="宋体" w:hAnsi="宋体" w:cs="宋体"/>
                <w:szCs w:val="21"/>
              </w:rPr>
            </w:pPr>
            <w:r>
              <w:rPr>
                <w:rFonts w:ascii="宋体" w:hAnsi="宋体" w:cs="宋体" w:hint="eastAsia"/>
                <w:kern w:val="0"/>
                <w:szCs w:val="21"/>
                <w:lang w:bidi="ar"/>
              </w:rPr>
              <w:t>通道系统</w:t>
            </w:r>
          </w:p>
        </w:tc>
        <w:tc>
          <w:tcPr>
            <w:tcW w:w="3225" w:type="dxa"/>
            <w:tcBorders>
              <w:top w:val="single" w:sz="4" w:space="0" w:color="000000"/>
              <w:left w:val="nil"/>
              <w:bottom w:val="single" w:sz="4" w:space="0" w:color="000000"/>
              <w:right w:val="single" w:sz="4" w:space="0" w:color="000000"/>
            </w:tcBorders>
            <w:noWrap/>
            <w:vAlign w:val="center"/>
          </w:tcPr>
          <w:p w14:paraId="41A9FD75" w14:textId="77777777" w:rsidR="009A5FB0" w:rsidRDefault="00BF1721">
            <w:pPr>
              <w:widowControl/>
              <w:spacing w:line="360" w:lineRule="auto"/>
              <w:jc w:val="left"/>
              <w:textAlignment w:val="center"/>
              <w:rPr>
                <w:rFonts w:ascii="宋体" w:hAnsi="宋体" w:cs="宋体"/>
                <w:szCs w:val="21"/>
              </w:rPr>
            </w:pPr>
            <w:r>
              <w:rPr>
                <w:rFonts w:ascii="宋体" w:hAnsi="宋体" w:cs="宋体" w:hint="eastAsia"/>
                <w:kern w:val="0"/>
                <w:szCs w:val="21"/>
                <w:lang w:bidi="ar"/>
              </w:rPr>
              <w:t>速宾、富士、捷顺</w:t>
            </w:r>
          </w:p>
        </w:tc>
        <w:tc>
          <w:tcPr>
            <w:tcW w:w="2341" w:type="dxa"/>
            <w:tcBorders>
              <w:top w:val="single" w:sz="4" w:space="0" w:color="000000"/>
              <w:left w:val="nil"/>
              <w:bottom w:val="single" w:sz="4" w:space="0" w:color="000000"/>
              <w:right w:val="single" w:sz="4" w:space="0" w:color="000000"/>
            </w:tcBorders>
            <w:noWrap/>
            <w:vAlign w:val="center"/>
          </w:tcPr>
          <w:p w14:paraId="316D4FB1" w14:textId="77777777" w:rsidR="009A5FB0" w:rsidRDefault="009A5FB0">
            <w:pPr>
              <w:spacing w:line="360" w:lineRule="auto"/>
              <w:ind w:firstLine="400"/>
              <w:jc w:val="left"/>
              <w:rPr>
                <w:rFonts w:ascii="宋体" w:hAnsi="宋体" w:cs="宋体"/>
                <w:szCs w:val="21"/>
              </w:rPr>
            </w:pPr>
          </w:p>
        </w:tc>
      </w:tr>
      <w:tr w:rsidR="009A5FB0" w14:paraId="74226CCC"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3FE0AAA0"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28FEA015" w14:textId="77777777" w:rsidR="009A5FB0" w:rsidRDefault="00BF1721">
            <w:pPr>
              <w:widowControl/>
              <w:spacing w:line="360" w:lineRule="auto"/>
              <w:jc w:val="left"/>
              <w:textAlignment w:val="center"/>
              <w:rPr>
                <w:rFonts w:ascii="宋体" w:hAnsi="宋体" w:cs="宋体"/>
                <w:kern w:val="0"/>
                <w:szCs w:val="21"/>
                <w:lang w:bidi="ar"/>
              </w:rPr>
            </w:pPr>
            <w:r>
              <w:rPr>
                <w:rFonts w:ascii="宋体" w:hAnsi="宋体" w:cs="宋体" w:hint="eastAsia"/>
                <w:kern w:val="0"/>
                <w:szCs w:val="21"/>
                <w:lang w:bidi="ar"/>
              </w:rPr>
              <w:t>机柜</w:t>
            </w:r>
          </w:p>
        </w:tc>
        <w:tc>
          <w:tcPr>
            <w:tcW w:w="3225" w:type="dxa"/>
            <w:tcBorders>
              <w:top w:val="single" w:sz="4" w:space="0" w:color="000000"/>
              <w:left w:val="nil"/>
              <w:bottom w:val="single" w:sz="4" w:space="0" w:color="000000"/>
              <w:right w:val="single" w:sz="4" w:space="0" w:color="000000"/>
            </w:tcBorders>
            <w:noWrap/>
            <w:vAlign w:val="center"/>
          </w:tcPr>
          <w:p w14:paraId="4B5004F1" w14:textId="77777777" w:rsidR="009A5FB0" w:rsidRDefault="00BF1721">
            <w:pPr>
              <w:widowControl/>
              <w:spacing w:line="360" w:lineRule="auto"/>
              <w:jc w:val="left"/>
              <w:textAlignment w:val="center"/>
              <w:rPr>
                <w:rFonts w:ascii="宋体" w:hAnsi="宋体" w:cs="宋体"/>
                <w:kern w:val="0"/>
                <w:szCs w:val="21"/>
                <w:lang w:bidi="ar"/>
              </w:rPr>
            </w:pPr>
            <w:hyperlink r:id="rId10" w:history="1">
              <w:r>
                <w:rPr>
                  <w:rFonts w:ascii="宋体" w:hAnsi="宋体" w:cs="宋体" w:hint="eastAsia"/>
                  <w:kern w:val="0"/>
                  <w:szCs w:val="21"/>
                  <w:lang w:bidi="ar"/>
                </w:rPr>
                <w:t>深圳图腾、银州、索玛</w:t>
              </w:r>
            </w:hyperlink>
          </w:p>
        </w:tc>
        <w:tc>
          <w:tcPr>
            <w:tcW w:w="2341" w:type="dxa"/>
            <w:tcBorders>
              <w:top w:val="single" w:sz="4" w:space="0" w:color="000000"/>
              <w:left w:val="nil"/>
              <w:bottom w:val="single" w:sz="4" w:space="0" w:color="000000"/>
              <w:right w:val="single" w:sz="4" w:space="0" w:color="000000"/>
            </w:tcBorders>
            <w:noWrap/>
            <w:vAlign w:val="center"/>
          </w:tcPr>
          <w:p w14:paraId="57DA7E0C" w14:textId="77777777" w:rsidR="009A5FB0" w:rsidRDefault="009A5FB0">
            <w:pPr>
              <w:spacing w:line="360" w:lineRule="auto"/>
              <w:ind w:firstLine="400"/>
              <w:jc w:val="left"/>
              <w:rPr>
                <w:rFonts w:ascii="宋体" w:hAnsi="宋体" w:cs="宋体"/>
                <w:szCs w:val="21"/>
              </w:rPr>
            </w:pPr>
          </w:p>
        </w:tc>
      </w:tr>
      <w:tr w:rsidR="009A5FB0" w14:paraId="70244BE0"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67B4B12A"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19FD7732" w14:textId="77777777" w:rsidR="009A5FB0" w:rsidRDefault="00BF1721">
            <w:pPr>
              <w:widowControl/>
              <w:spacing w:line="360" w:lineRule="auto"/>
              <w:jc w:val="left"/>
              <w:textAlignment w:val="center"/>
              <w:rPr>
                <w:rFonts w:ascii="宋体" w:hAnsi="宋体" w:cs="宋体"/>
                <w:szCs w:val="21"/>
              </w:rPr>
            </w:pPr>
            <w:r>
              <w:rPr>
                <w:rFonts w:ascii="宋体" w:hAnsi="宋体" w:cs="宋体" w:hint="eastAsia"/>
                <w:kern w:val="0"/>
                <w:szCs w:val="21"/>
                <w:lang w:bidi="ar"/>
              </w:rPr>
              <w:t>防静电地板</w:t>
            </w:r>
          </w:p>
        </w:tc>
        <w:tc>
          <w:tcPr>
            <w:tcW w:w="3225" w:type="dxa"/>
            <w:tcBorders>
              <w:top w:val="single" w:sz="4" w:space="0" w:color="000000"/>
              <w:left w:val="nil"/>
              <w:bottom w:val="single" w:sz="4" w:space="0" w:color="000000"/>
              <w:right w:val="single" w:sz="4" w:space="0" w:color="000000"/>
            </w:tcBorders>
            <w:noWrap/>
            <w:vAlign w:val="center"/>
          </w:tcPr>
          <w:p w14:paraId="2BD271F6" w14:textId="77777777" w:rsidR="009A5FB0" w:rsidRDefault="00BF1721">
            <w:pPr>
              <w:widowControl/>
              <w:spacing w:line="360" w:lineRule="auto"/>
              <w:jc w:val="left"/>
              <w:textAlignment w:val="center"/>
              <w:rPr>
                <w:rFonts w:ascii="宋体" w:hAnsi="宋体" w:cs="宋体"/>
                <w:szCs w:val="21"/>
              </w:rPr>
            </w:pPr>
            <w:r>
              <w:rPr>
                <w:rFonts w:ascii="宋体" w:hAnsi="宋体" w:cs="宋体" w:hint="eastAsia"/>
                <w:kern w:val="0"/>
                <w:szCs w:val="21"/>
                <w:lang w:bidi="ar"/>
              </w:rPr>
              <w:t>向利、沈飞、常</w:t>
            </w:r>
            <w:r>
              <w:rPr>
                <w:rFonts w:ascii="宋体" w:hAnsi="宋体" w:cs="宋体" w:hint="eastAsia"/>
                <w:kern w:val="0"/>
                <w:szCs w:val="21"/>
                <w:lang w:bidi="ar"/>
              </w:rPr>
              <w:t>飞、美露</w:t>
            </w:r>
          </w:p>
        </w:tc>
        <w:tc>
          <w:tcPr>
            <w:tcW w:w="2341" w:type="dxa"/>
            <w:tcBorders>
              <w:top w:val="single" w:sz="4" w:space="0" w:color="000000"/>
              <w:left w:val="nil"/>
              <w:bottom w:val="single" w:sz="4" w:space="0" w:color="000000"/>
              <w:right w:val="single" w:sz="4" w:space="0" w:color="000000"/>
            </w:tcBorders>
            <w:noWrap/>
            <w:vAlign w:val="center"/>
          </w:tcPr>
          <w:p w14:paraId="436AB811" w14:textId="77777777" w:rsidR="009A5FB0" w:rsidRDefault="009A5FB0">
            <w:pPr>
              <w:spacing w:line="360" w:lineRule="auto"/>
              <w:ind w:firstLine="400"/>
              <w:jc w:val="left"/>
              <w:rPr>
                <w:rFonts w:ascii="宋体" w:hAnsi="宋体" w:cs="宋体"/>
                <w:szCs w:val="21"/>
              </w:rPr>
            </w:pPr>
          </w:p>
        </w:tc>
      </w:tr>
      <w:tr w:rsidR="009A5FB0" w14:paraId="4C5EF89A"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3B7FB933"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2DF0B7DD" w14:textId="77777777" w:rsidR="009A5FB0" w:rsidRDefault="00BF1721">
            <w:pPr>
              <w:widowControl/>
              <w:spacing w:line="360" w:lineRule="auto"/>
              <w:jc w:val="left"/>
              <w:textAlignment w:val="center"/>
              <w:rPr>
                <w:rFonts w:ascii="宋体" w:hAnsi="宋体" w:cs="宋体"/>
                <w:szCs w:val="21"/>
              </w:rPr>
            </w:pPr>
            <w:r>
              <w:rPr>
                <w:rFonts w:ascii="宋体" w:hAnsi="宋体" w:cs="宋体" w:hint="eastAsia"/>
                <w:kern w:val="0"/>
                <w:szCs w:val="21"/>
                <w:lang w:bidi="ar"/>
              </w:rPr>
              <w:t>UPS</w:t>
            </w:r>
            <w:r>
              <w:rPr>
                <w:rFonts w:ascii="宋体" w:hAnsi="宋体" w:cs="宋体" w:hint="eastAsia"/>
                <w:kern w:val="0"/>
                <w:szCs w:val="21"/>
                <w:lang w:bidi="ar"/>
              </w:rPr>
              <w:t>主机含电池</w:t>
            </w:r>
          </w:p>
        </w:tc>
        <w:tc>
          <w:tcPr>
            <w:tcW w:w="3225" w:type="dxa"/>
            <w:tcBorders>
              <w:top w:val="single" w:sz="4" w:space="0" w:color="000000"/>
              <w:left w:val="nil"/>
              <w:bottom w:val="single" w:sz="4" w:space="0" w:color="000000"/>
              <w:right w:val="single" w:sz="4" w:space="0" w:color="000000"/>
            </w:tcBorders>
            <w:noWrap/>
            <w:vAlign w:val="center"/>
          </w:tcPr>
          <w:p w14:paraId="06CA6711" w14:textId="77777777" w:rsidR="009A5FB0" w:rsidRDefault="00BF1721">
            <w:pPr>
              <w:widowControl/>
              <w:spacing w:line="360" w:lineRule="auto"/>
              <w:jc w:val="left"/>
              <w:textAlignment w:val="center"/>
              <w:rPr>
                <w:rFonts w:ascii="宋体" w:hAnsi="宋体" w:cs="宋体"/>
                <w:szCs w:val="21"/>
              </w:rPr>
            </w:pPr>
            <w:r>
              <w:rPr>
                <w:rFonts w:ascii="宋体" w:hAnsi="宋体" w:cs="宋体" w:hint="eastAsia"/>
                <w:kern w:val="0"/>
                <w:szCs w:val="21"/>
                <w:lang w:bidi="ar"/>
              </w:rPr>
              <w:t>科华、山特、英威腾</w:t>
            </w:r>
          </w:p>
        </w:tc>
        <w:tc>
          <w:tcPr>
            <w:tcW w:w="2341" w:type="dxa"/>
            <w:tcBorders>
              <w:top w:val="single" w:sz="4" w:space="0" w:color="000000"/>
              <w:left w:val="nil"/>
              <w:bottom w:val="single" w:sz="4" w:space="0" w:color="000000"/>
              <w:right w:val="single" w:sz="4" w:space="0" w:color="000000"/>
            </w:tcBorders>
            <w:noWrap/>
            <w:vAlign w:val="center"/>
          </w:tcPr>
          <w:p w14:paraId="1DE0991F" w14:textId="77777777" w:rsidR="009A5FB0" w:rsidRDefault="009A5FB0">
            <w:pPr>
              <w:spacing w:line="360" w:lineRule="auto"/>
              <w:ind w:firstLine="400"/>
              <w:jc w:val="left"/>
              <w:rPr>
                <w:rFonts w:ascii="宋体" w:hAnsi="宋体" w:cs="宋体"/>
                <w:szCs w:val="21"/>
              </w:rPr>
            </w:pPr>
          </w:p>
        </w:tc>
      </w:tr>
      <w:tr w:rsidR="009A5FB0" w14:paraId="39C39231"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72740A94"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68C6B96A" w14:textId="77777777" w:rsidR="009A5FB0" w:rsidRDefault="00BF1721">
            <w:pPr>
              <w:widowControl/>
              <w:spacing w:line="360" w:lineRule="auto"/>
              <w:jc w:val="left"/>
              <w:textAlignment w:val="center"/>
              <w:rPr>
                <w:rFonts w:ascii="宋体" w:hAnsi="宋体" w:cs="宋体"/>
                <w:b/>
                <w:bCs/>
                <w:kern w:val="0"/>
                <w:szCs w:val="21"/>
                <w:lang w:bidi="ar"/>
              </w:rPr>
            </w:pPr>
            <w:r>
              <w:rPr>
                <w:rFonts w:ascii="宋体" w:hAnsi="宋体" w:cs="宋体" w:hint="eastAsia"/>
                <w:kern w:val="0"/>
                <w:szCs w:val="21"/>
                <w:lang w:bidi="ar"/>
              </w:rPr>
              <w:t>公共信息发布系统</w:t>
            </w:r>
          </w:p>
        </w:tc>
        <w:tc>
          <w:tcPr>
            <w:tcW w:w="3225" w:type="dxa"/>
            <w:tcBorders>
              <w:top w:val="single" w:sz="4" w:space="0" w:color="000000"/>
              <w:left w:val="nil"/>
              <w:bottom w:val="single" w:sz="4" w:space="0" w:color="000000"/>
              <w:right w:val="single" w:sz="4" w:space="0" w:color="000000"/>
            </w:tcBorders>
            <w:noWrap/>
            <w:vAlign w:val="center"/>
          </w:tcPr>
          <w:p w14:paraId="2AC3F5D8" w14:textId="77777777" w:rsidR="009A5FB0" w:rsidRDefault="00BF1721">
            <w:pPr>
              <w:widowControl/>
              <w:spacing w:line="360" w:lineRule="auto"/>
              <w:jc w:val="left"/>
              <w:textAlignment w:val="center"/>
              <w:rPr>
                <w:rFonts w:ascii="宋体" w:hAnsi="宋体" w:cs="宋体"/>
                <w:kern w:val="0"/>
                <w:szCs w:val="21"/>
                <w:lang w:bidi="ar"/>
              </w:rPr>
            </w:pPr>
            <w:r>
              <w:rPr>
                <w:rFonts w:ascii="宋体" w:hAnsi="宋体" w:cs="宋体" w:hint="eastAsia"/>
                <w:kern w:val="0"/>
                <w:szCs w:val="21"/>
                <w:lang w:bidi="ar"/>
              </w:rPr>
              <w:t>优影、慧峰、锐目</w:t>
            </w:r>
          </w:p>
        </w:tc>
        <w:tc>
          <w:tcPr>
            <w:tcW w:w="2341" w:type="dxa"/>
            <w:tcBorders>
              <w:top w:val="single" w:sz="4" w:space="0" w:color="000000"/>
              <w:left w:val="nil"/>
              <w:bottom w:val="single" w:sz="4" w:space="0" w:color="000000"/>
              <w:right w:val="single" w:sz="4" w:space="0" w:color="000000"/>
            </w:tcBorders>
            <w:noWrap/>
            <w:vAlign w:val="center"/>
          </w:tcPr>
          <w:p w14:paraId="3ABB2D3F" w14:textId="77777777" w:rsidR="009A5FB0" w:rsidRDefault="009A5FB0">
            <w:pPr>
              <w:spacing w:line="360" w:lineRule="auto"/>
              <w:ind w:firstLine="400"/>
              <w:jc w:val="left"/>
              <w:rPr>
                <w:rFonts w:ascii="宋体" w:hAnsi="宋体" w:cs="宋体"/>
                <w:szCs w:val="21"/>
              </w:rPr>
            </w:pPr>
          </w:p>
        </w:tc>
      </w:tr>
      <w:tr w:rsidR="009A5FB0" w14:paraId="58A9F82B"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1ECC4682"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1DB9A180" w14:textId="77777777" w:rsidR="009A5FB0" w:rsidRDefault="00BF1721">
            <w:pPr>
              <w:widowControl/>
              <w:spacing w:line="360" w:lineRule="auto"/>
              <w:jc w:val="left"/>
              <w:textAlignment w:val="center"/>
              <w:rPr>
                <w:rFonts w:ascii="宋体" w:hAnsi="宋体" w:cs="宋体"/>
                <w:kern w:val="0"/>
                <w:szCs w:val="21"/>
                <w:lang w:bidi="ar"/>
              </w:rPr>
            </w:pPr>
            <w:r>
              <w:rPr>
                <w:rFonts w:ascii="宋体" w:hAnsi="宋体" w:cs="宋体" w:hint="eastAsia"/>
                <w:kern w:val="0"/>
                <w:szCs w:val="21"/>
                <w:lang w:bidi="ar"/>
              </w:rPr>
              <w:t>无线门锁设备</w:t>
            </w:r>
          </w:p>
        </w:tc>
        <w:tc>
          <w:tcPr>
            <w:tcW w:w="3225" w:type="dxa"/>
            <w:tcBorders>
              <w:top w:val="single" w:sz="4" w:space="0" w:color="000000"/>
              <w:left w:val="nil"/>
              <w:bottom w:val="single" w:sz="4" w:space="0" w:color="000000"/>
              <w:right w:val="single" w:sz="4" w:space="0" w:color="000000"/>
            </w:tcBorders>
            <w:noWrap/>
            <w:vAlign w:val="center"/>
          </w:tcPr>
          <w:p w14:paraId="75756EC8" w14:textId="77777777" w:rsidR="009A5FB0" w:rsidRDefault="00BF1721">
            <w:pPr>
              <w:widowControl/>
              <w:spacing w:line="360" w:lineRule="auto"/>
              <w:jc w:val="left"/>
              <w:textAlignment w:val="center"/>
              <w:rPr>
                <w:rFonts w:ascii="宋体" w:hAnsi="宋体" w:cs="宋体"/>
                <w:kern w:val="0"/>
                <w:szCs w:val="21"/>
                <w:lang w:bidi="ar"/>
              </w:rPr>
            </w:pPr>
            <w:r>
              <w:rPr>
                <w:rFonts w:ascii="宋体" w:hAnsi="宋体" w:cs="宋体" w:hint="eastAsia"/>
                <w:kern w:val="0"/>
                <w:szCs w:val="21"/>
                <w:lang w:bidi="ar"/>
              </w:rPr>
              <w:t>咕咚、龙瑞或同档次品牌，须达到公示产品的相关规格及标准</w:t>
            </w:r>
          </w:p>
        </w:tc>
        <w:tc>
          <w:tcPr>
            <w:tcW w:w="2341" w:type="dxa"/>
            <w:tcBorders>
              <w:top w:val="single" w:sz="4" w:space="0" w:color="000000"/>
              <w:left w:val="nil"/>
              <w:bottom w:val="single" w:sz="4" w:space="0" w:color="000000"/>
              <w:right w:val="single" w:sz="4" w:space="0" w:color="000000"/>
            </w:tcBorders>
            <w:noWrap/>
            <w:vAlign w:val="center"/>
          </w:tcPr>
          <w:p w14:paraId="3527F335" w14:textId="77777777" w:rsidR="009A5FB0" w:rsidRDefault="009A5FB0">
            <w:pPr>
              <w:widowControl/>
              <w:spacing w:line="360" w:lineRule="auto"/>
              <w:jc w:val="left"/>
              <w:textAlignment w:val="center"/>
              <w:rPr>
                <w:rFonts w:ascii="宋体" w:hAnsi="宋体" w:cs="宋体"/>
                <w:szCs w:val="21"/>
              </w:rPr>
            </w:pPr>
          </w:p>
        </w:tc>
      </w:tr>
      <w:tr w:rsidR="009A5FB0" w14:paraId="6237A756"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0BA26124"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6F755B8C" w14:textId="77777777" w:rsidR="009A5FB0" w:rsidRDefault="00BF1721">
            <w:pPr>
              <w:widowControl/>
              <w:spacing w:line="360" w:lineRule="auto"/>
              <w:jc w:val="left"/>
              <w:textAlignment w:val="center"/>
              <w:rPr>
                <w:rFonts w:ascii="宋体" w:hAnsi="宋体" w:cs="宋体"/>
                <w:kern w:val="0"/>
                <w:szCs w:val="21"/>
                <w:lang w:bidi="ar"/>
              </w:rPr>
            </w:pPr>
            <w:r>
              <w:rPr>
                <w:rFonts w:ascii="宋体" w:hAnsi="宋体" w:cs="宋体" w:hint="eastAsia"/>
                <w:kern w:val="0"/>
                <w:szCs w:val="21"/>
                <w:lang w:bidi="ar"/>
              </w:rPr>
              <w:t>服务器</w:t>
            </w:r>
          </w:p>
        </w:tc>
        <w:tc>
          <w:tcPr>
            <w:tcW w:w="3225" w:type="dxa"/>
            <w:tcBorders>
              <w:top w:val="single" w:sz="4" w:space="0" w:color="000000"/>
              <w:left w:val="nil"/>
              <w:bottom w:val="single" w:sz="4" w:space="0" w:color="000000"/>
              <w:right w:val="single" w:sz="4" w:space="0" w:color="000000"/>
            </w:tcBorders>
            <w:noWrap/>
            <w:vAlign w:val="center"/>
          </w:tcPr>
          <w:p w14:paraId="0445EFEA" w14:textId="77777777" w:rsidR="009A5FB0" w:rsidRDefault="00BF1721">
            <w:pPr>
              <w:widowControl/>
              <w:spacing w:line="360" w:lineRule="auto"/>
              <w:jc w:val="left"/>
              <w:textAlignment w:val="center"/>
              <w:rPr>
                <w:rFonts w:ascii="宋体" w:hAnsi="宋体" w:cs="宋体"/>
                <w:kern w:val="0"/>
                <w:szCs w:val="21"/>
                <w:lang w:bidi="ar"/>
              </w:rPr>
            </w:pPr>
            <w:r>
              <w:rPr>
                <w:rFonts w:ascii="宋体" w:hAnsi="宋体" w:cs="宋体" w:hint="eastAsia"/>
                <w:kern w:val="0"/>
                <w:szCs w:val="21"/>
                <w:lang w:bidi="ar"/>
              </w:rPr>
              <w:t>HP</w:t>
            </w:r>
            <w:r>
              <w:rPr>
                <w:rFonts w:ascii="宋体" w:hAnsi="宋体" w:cs="宋体" w:hint="eastAsia"/>
                <w:kern w:val="0"/>
                <w:szCs w:val="21"/>
                <w:lang w:bidi="ar"/>
              </w:rPr>
              <w:t>、联想、戴尔、浪潮</w:t>
            </w:r>
          </w:p>
        </w:tc>
        <w:tc>
          <w:tcPr>
            <w:tcW w:w="2341" w:type="dxa"/>
            <w:tcBorders>
              <w:top w:val="single" w:sz="4" w:space="0" w:color="000000"/>
              <w:left w:val="nil"/>
              <w:bottom w:val="single" w:sz="4" w:space="0" w:color="000000"/>
              <w:right w:val="single" w:sz="4" w:space="0" w:color="000000"/>
            </w:tcBorders>
            <w:noWrap/>
            <w:vAlign w:val="center"/>
          </w:tcPr>
          <w:p w14:paraId="0A11A6C6" w14:textId="77777777" w:rsidR="009A5FB0" w:rsidRDefault="009A5FB0">
            <w:pPr>
              <w:spacing w:line="360" w:lineRule="auto"/>
              <w:ind w:firstLine="400"/>
              <w:jc w:val="left"/>
              <w:rPr>
                <w:rFonts w:ascii="宋体" w:hAnsi="宋体" w:cs="宋体"/>
                <w:szCs w:val="21"/>
              </w:rPr>
            </w:pPr>
          </w:p>
        </w:tc>
      </w:tr>
      <w:tr w:rsidR="009A5FB0" w14:paraId="0A94B2DF" w14:textId="77777777">
        <w:trPr>
          <w:trHeight w:val="482"/>
          <w:jc w:val="center"/>
        </w:trPr>
        <w:tc>
          <w:tcPr>
            <w:tcW w:w="701" w:type="dxa"/>
            <w:tcBorders>
              <w:top w:val="single" w:sz="4" w:space="0" w:color="000000"/>
              <w:left w:val="single" w:sz="4" w:space="0" w:color="000000"/>
              <w:bottom w:val="single" w:sz="4" w:space="0" w:color="000000"/>
              <w:right w:val="single" w:sz="4" w:space="0" w:color="000000"/>
            </w:tcBorders>
            <w:noWrap/>
            <w:vAlign w:val="center"/>
          </w:tcPr>
          <w:p w14:paraId="0C1B6AEF" w14:textId="77777777" w:rsidR="009A5FB0" w:rsidRDefault="009A5FB0">
            <w:pPr>
              <w:widowControl/>
              <w:numPr>
                <w:ilvl w:val="0"/>
                <w:numId w:val="4"/>
              </w:numPr>
              <w:jc w:val="center"/>
              <w:rPr>
                <w:rFonts w:ascii="宋体" w:hAnsi="宋体"/>
                <w:szCs w:val="21"/>
              </w:rPr>
            </w:pPr>
          </w:p>
        </w:tc>
        <w:tc>
          <w:tcPr>
            <w:tcW w:w="2256" w:type="dxa"/>
            <w:tcBorders>
              <w:top w:val="single" w:sz="4" w:space="0" w:color="000000"/>
              <w:left w:val="nil"/>
              <w:bottom w:val="single" w:sz="4" w:space="0" w:color="000000"/>
              <w:right w:val="single" w:sz="4" w:space="0" w:color="000000"/>
            </w:tcBorders>
            <w:noWrap/>
            <w:vAlign w:val="center"/>
          </w:tcPr>
          <w:p w14:paraId="12E1FA64" w14:textId="77777777" w:rsidR="009A5FB0" w:rsidRDefault="00BF1721">
            <w:pPr>
              <w:widowControl/>
              <w:spacing w:line="360" w:lineRule="auto"/>
              <w:jc w:val="left"/>
              <w:textAlignment w:val="center"/>
              <w:rPr>
                <w:rFonts w:ascii="宋体" w:hAnsi="宋体" w:cs="宋体"/>
                <w:kern w:val="0"/>
                <w:szCs w:val="21"/>
                <w:lang w:bidi="ar"/>
              </w:rPr>
            </w:pPr>
            <w:r>
              <w:rPr>
                <w:rFonts w:ascii="宋体" w:hAnsi="宋体" w:cs="宋体"/>
                <w:szCs w:val="21"/>
              </w:rPr>
              <w:t>空气源循环热水机组</w:t>
            </w:r>
          </w:p>
        </w:tc>
        <w:tc>
          <w:tcPr>
            <w:tcW w:w="3225" w:type="dxa"/>
            <w:tcBorders>
              <w:top w:val="single" w:sz="4" w:space="0" w:color="000000"/>
              <w:left w:val="nil"/>
              <w:bottom w:val="single" w:sz="4" w:space="0" w:color="000000"/>
              <w:right w:val="single" w:sz="4" w:space="0" w:color="000000"/>
            </w:tcBorders>
            <w:noWrap/>
            <w:vAlign w:val="center"/>
          </w:tcPr>
          <w:p w14:paraId="024F7E36" w14:textId="77777777" w:rsidR="009A5FB0" w:rsidRDefault="00BF1721">
            <w:pPr>
              <w:widowControl/>
              <w:spacing w:line="360" w:lineRule="auto"/>
              <w:jc w:val="left"/>
              <w:textAlignment w:val="center"/>
              <w:rPr>
                <w:rFonts w:ascii="宋体" w:hAnsi="宋体" w:cs="宋体"/>
                <w:kern w:val="0"/>
                <w:szCs w:val="21"/>
                <w:lang w:bidi="ar"/>
              </w:rPr>
            </w:pPr>
            <w:r>
              <w:rPr>
                <w:rFonts w:ascii="宋体" w:hAnsi="宋体" w:cs="宋体"/>
                <w:szCs w:val="21"/>
              </w:rPr>
              <w:t>格力</w:t>
            </w:r>
            <w:r>
              <w:rPr>
                <w:rFonts w:ascii="宋体" w:hAnsi="宋体" w:cs="宋体" w:hint="eastAsia"/>
                <w:szCs w:val="21"/>
              </w:rPr>
              <w:t>、</w:t>
            </w:r>
            <w:r>
              <w:rPr>
                <w:rFonts w:ascii="宋体" w:hAnsi="宋体" w:cs="宋体"/>
                <w:szCs w:val="21"/>
              </w:rPr>
              <w:t>美的</w:t>
            </w:r>
            <w:r>
              <w:rPr>
                <w:rFonts w:ascii="宋体" w:hAnsi="宋体" w:cs="宋体" w:hint="eastAsia"/>
                <w:szCs w:val="21"/>
              </w:rPr>
              <w:t>、</w:t>
            </w:r>
            <w:r>
              <w:rPr>
                <w:rFonts w:ascii="宋体" w:hAnsi="宋体" w:cs="宋体"/>
                <w:szCs w:val="21"/>
              </w:rPr>
              <w:t>海尔</w:t>
            </w:r>
          </w:p>
        </w:tc>
        <w:tc>
          <w:tcPr>
            <w:tcW w:w="2341" w:type="dxa"/>
            <w:tcBorders>
              <w:top w:val="single" w:sz="4" w:space="0" w:color="000000"/>
              <w:left w:val="nil"/>
              <w:bottom w:val="single" w:sz="4" w:space="0" w:color="000000"/>
              <w:right w:val="single" w:sz="4" w:space="0" w:color="000000"/>
            </w:tcBorders>
            <w:noWrap/>
            <w:vAlign w:val="center"/>
          </w:tcPr>
          <w:p w14:paraId="3EA993B7" w14:textId="77777777" w:rsidR="009A5FB0" w:rsidRDefault="009A5FB0">
            <w:pPr>
              <w:spacing w:line="360" w:lineRule="auto"/>
              <w:ind w:firstLine="400"/>
              <w:jc w:val="left"/>
              <w:rPr>
                <w:rFonts w:ascii="宋体" w:hAnsi="宋体" w:cs="宋体"/>
                <w:szCs w:val="21"/>
              </w:rPr>
            </w:pPr>
          </w:p>
        </w:tc>
      </w:tr>
    </w:tbl>
    <w:p w14:paraId="059EC1E6" w14:textId="77777777" w:rsidR="009A5FB0" w:rsidRDefault="00BF1721">
      <w:pPr>
        <w:snapToGrid w:val="0"/>
        <w:spacing w:line="336" w:lineRule="auto"/>
        <w:ind w:firstLineChars="200" w:firstLine="562"/>
        <w:rPr>
          <w:rFonts w:ascii="宋体" w:hAnsi="宋体" w:cs="宋体"/>
          <w:kern w:val="11"/>
          <w:sz w:val="28"/>
          <w:szCs w:val="28"/>
        </w:rPr>
      </w:pPr>
      <w:r>
        <w:rPr>
          <w:rFonts w:ascii="宋体" w:hAnsi="宋体" w:hint="eastAsia"/>
          <w:b/>
          <w:bCs/>
          <w:sz w:val="28"/>
          <w:szCs w:val="28"/>
        </w:rPr>
        <w:t>备注：</w:t>
      </w:r>
      <w:r>
        <w:rPr>
          <w:rFonts w:ascii="宋体" w:hAnsi="宋体" w:hint="eastAsia"/>
          <w:bCs/>
          <w:sz w:val="28"/>
          <w:szCs w:val="28"/>
        </w:rPr>
        <w:t>项目施工所需的相关材料均为优等品，采购需经建设单位认可，</w:t>
      </w:r>
      <w:r>
        <w:rPr>
          <w:rFonts w:ascii="宋体" w:hAnsi="宋体" w:hint="eastAsia"/>
          <w:color w:val="000000"/>
          <w:sz w:val="28"/>
          <w:szCs w:val="28"/>
        </w:rPr>
        <w:t>投标单位按照《主要材料品牌规格表》所列主材、设备规格和品牌并结合市场行情自主报价，施工时经甲方确认并按此品牌规格明细表执行</w:t>
      </w:r>
      <w:r>
        <w:rPr>
          <w:rFonts w:ascii="宋体" w:hAnsi="宋体" w:hint="eastAsia"/>
          <w:bCs/>
          <w:sz w:val="28"/>
          <w:szCs w:val="28"/>
        </w:rPr>
        <w:t>。</w:t>
      </w:r>
    </w:p>
    <w:p w14:paraId="36814077" w14:textId="77777777" w:rsidR="009A5FB0" w:rsidRDefault="00BF1721">
      <w:pPr>
        <w:spacing w:line="540" w:lineRule="exact"/>
        <w:ind w:right="140" w:firstLineChars="200" w:firstLine="560"/>
        <w:jc w:val="center"/>
        <w:rPr>
          <w:rFonts w:ascii="宋体" w:hAnsi="宋体" w:cs="宋体"/>
          <w:kern w:val="11"/>
          <w:sz w:val="28"/>
          <w:szCs w:val="28"/>
        </w:rPr>
      </w:pPr>
      <w:r>
        <w:rPr>
          <w:rFonts w:ascii="宋体" w:hAnsi="宋体" w:cs="宋体" w:hint="eastAsia"/>
          <w:kern w:val="11"/>
          <w:sz w:val="28"/>
          <w:szCs w:val="28"/>
        </w:rPr>
        <w:t xml:space="preserve">            </w:t>
      </w:r>
    </w:p>
    <w:p w14:paraId="1792D9A5" w14:textId="77777777" w:rsidR="009A5FB0" w:rsidRDefault="00BF1721">
      <w:pPr>
        <w:spacing w:line="540" w:lineRule="exact"/>
        <w:ind w:right="140" w:firstLineChars="200" w:firstLine="560"/>
        <w:jc w:val="center"/>
        <w:rPr>
          <w:rFonts w:ascii="宋体" w:hAnsi="宋体" w:cs="宋体"/>
          <w:kern w:val="11"/>
          <w:sz w:val="28"/>
          <w:szCs w:val="28"/>
        </w:rPr>
      </w:pPr>
      <w:r>
        <w:rPr>
          <w:rFonts w:ascii="宋体" w:hAnsi="宋体" w:cs="宋体" w:hint="eastAsia"/>
          <w:kern w:val="11"/>
          <w:sz w:val="28"/>
          <w:szCs w:val="28"/>
        </w:rPr>
        <w:t xml:space="preserve">                     </w:t>
      </w:r>
      <w:r>
        <w:rPr>
          <w:rFonts w:ascii="宋体" w:hAnsi="宋体" w:cs="宋体" w:hint="eastAsia"/>
          <w:kern w:val="11"/>
          <w:sz w:val="28"/>
          <w:szCs w:val="28"/>
        </w:rPr>
        <w:t>湖南建业管理咨询有限公司</w:t>
      </w:r>
    </w:p>
    <w:p w14:paraId="77B43C32" w14:textId="77777777" w:rsidR="009A5FB0" w:rsidRDefault="00BF1721">
      <w:pPr>
        <w:spacing w:line="540" w:lineRule="exact"/>
        <w:ind w:right="140" w:firstLineChars="200" w:firstLine="560"/>
        <w:jc w:val="center"/>
        <w:rPr>
          <w:rFonts w:ascii="宋体" w:hAnsi="宋体" w:cs="宋体"/>
          <w:kern w:val="11"/>
          <w:sz w:val="28"/>
          <w:szCs w:val="28"/>
        </w:rPr>
      </w:pPr>
      <w:r>
        <w:rPr>
          <w:rFonts w:ascii="宋体" w:hAnsi="宋体" w:cs="宋体" w:hint="eastAsia"/>
          <w:kern w:val="11"/>
          <w:sz w:val="28"/>
          <w:szCs w:val="28"/>
        </w:rPr>
        <w:t xml:space="preserve">                  2021.10.18</w:t>
      </w:r>
    </w:p>
    <w:sectPr w:rsidR="009A5FB0">
      <w:footerReference w:type="default" r:id="rId11"/>
      <w:headerReference w:type="first" r:id="rId12"/>
      <w:footerReference w:type="first" r:id="rId13"/>
      <w:pgSz w:w="11907" w:h="16840"/>
      <w:pgMar w:top="1440" w:right="1800" w:bottom="1440" w:left="1800" w:header="851" w:footer="567"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9E958" w14:textId="77777777" w:rsidR="00BF1721" w:rsidRDefault="00BF1721">
      <w:r>
        <w:separator/>
      </w:r>
    </w:p>
  </w:endnote>
  <w:endnote w:type="continuationSeparator" w:id="0">
    <w:p w14:paraId="0B74F6FA" w14:textId="77777777" w:rsidR="00BF1721" w:rsidRDefault="00BF1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00"/>
    <w:family w:val="auto"/>
    <w:pitch w:val="default"/>
    <w:sig w:usb0="00000000" w:usb1="00000000" w:usb2="00000000" w:usb3="00000000" w:csb0="00040001" w:csb1="00000000"/>
  </w:font>
  <w:font w:name="Arial Unicode MS">
    <w:altName w:val="Malgun Gothic Semilight"/>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7AC63" w14:textId="77777777" w:rsidR="009A5FB0" w:rsidRDefault="00BF1721">
    <w:pPr>
      <w:pStyle w:val="a7"/>
      <w:ind w:firstLineChars="2000" w:firstLine="3600"/>
    </w:pPr>
    <w:r>
      <w:rPr>
        <w:noProof/>
      </w:rPr>
      <mc:AlternateContent>
        <mc:Choice Requires="wps">
          <w:drawing>
            <wp:anchor distT="0" distB="0" distL="114300" distR="114300" simplePos="0" relativeHeight="251659264" behindDoc="0" locked="0" layoutInCell="1" allowOverlap="1" wp14:anchorId="259E7F2C" wp14:editId="4C818131">
              <wp:simplePos x="0" y="0"/>
              <wp:positionH relativeFrom="margin">
                <wp:align>center</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C5F36DB" w14:textId="77777777" w:rsidR="009A5FB0" w:rsidRDefault="00BF1721">
                          <w:pPr>
                            <w:snapToGrid w:val="0"/>
                            <w:rPr>
                              <w:sz w:val="18"/>
                            </w:rPr>
                          </w:pPr>
                          <w:r>
                            <w:rPr>
                              <w:rFonts w:hint="eastAsia"/>
                              <w:sz w:val="18"/>
                            </w:rPr>
                            <w:t>第</w:t>
                          </w:r>
                          <w:r>
                            <w:rPr>
                              <w:rFonts w:hint="eastAsia"/>
                              <w:sz w:val="18"/>
                            </w:rPr>
                            <w:t xml:space="preserve">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13</w:t>
                          </w:r>
                          <w:r>
                            <w:rPr>
                              <w:rFonts w:hint="eastAsia"/>
                              <w:sz w:val="18"/>
                            </w:rPr>
                            <w:fldChar w:fldCharType="end"/>
                          </w:r>
                          <w:r>
                            <w:rPr>
                              <w:rFonts w:hint="eastAsia"/>
                              <w:sz w:val="18"/>
                            </w:rPr>
                            <w:t xml:space="preserve"> </w:t>
                          </w:r>
                          <w:r>
                            <w:rPr>
                              <w:rFonts w:hint="eastAsia"/>
                              <w:sz w:val="18"/>
                            </w:rPr>
                            <w:t>页</w:t>
                          </w:r>
                        </w:p>
                      </w:txbxContent>
                    </wps:txbx>
                    <wps:bodyPr wrap="none" lIns="0" tIns="0" rIns="0" bIns="0">
                      <a:spAutoFit/>
                    </wps:bodyPr>
                  </wps:wsp>
                </a:graphicData>
              </a:graphic>
            </wp:anchor>
          </w:drawing>
        </mc:Choice>
        <mc:Fallback>
          <w:pict>
            <v:shapetype w14:anchorId="259E7F2C" id="_x0000_t202" coordsize="21600,21600" o:spt="202" path="m,l,21600r21600,l21600,xe">
              <v:stroke joinstyle="miter"/>
              <v:path gradientshapeok="t" o:connecttype="rect"/>
            </v:shapetype>
            <v:shape id="文本框 7"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" filled="f" stroked="f">
              <v:textbox style="mso-fit-shape-to-text:t" inset="0,0,0,0">
                <w:txbxContent>
                  <w:p w14:paraId="7C5F36DB" w14:textId="77777777" w:rsidR="009A5FB0" w:rsidRDefault="00BF1721">
                    <w:pPr>
                      <w:snapToGrid w:val="0"/>
                      <w:rPr>
                        <w:sz w:val="18"/>
                      </w:rPr>
                    </w:pPr>
                    <w:r>
                      <w:rPr>
                        <w:rFonts w:hint="eastAsia"/>
                        <w:sz w:val="18"/>
                      </w:rPr>
                      <w:t>第</w:t>
                    </w:r>
                    <w:r>
                      <w:rPr>
                        <w:rFonts w:hint="eastAsia"/>
                        <w:sz w:val="18"/>
                      </w:rPr>
                      <w:t xml:space="preserve">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13</w:t>
                    </w:r>
                    <w:r>
                      <w:rPr>
                        <w:rFonts w:hint="eastAsia"/>
                        <w:sz w:val="18"/>
                      </w:rPr>
                      <w:fldChar w:fldCharType="end"/>
                    </w:r>
                    <w:r>
                      <w:rPr>
                        <w:rFonts w:hint="eastAsia"/>
                        <w:sz w:val="18"/>
                      </w:rPr>
                      <w:t xml:space="preserve"> </w:t>
                    </w:r>
                    <w:r>
                      <w:rPr>
                        <w:rFonts w:hint="eastAsia"/>
                        <w:sz w:val="18"/>
                      </w:rPr>
                      <w:t>页</w:t>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17189" w14:textId="77777777" w:rsidR="009A5FB0" w:rsidRDefault="00BF1721">
    <w:pPr>
      <w:pStyle w:val="a7"/>
    </w:pPr>
    <w:r>
      <w:rPr>
        <w:noProof/>
      </w:rPr>
      <mc:AlternateContent>
        <mc:Choice Requires="wps">
          <w:drawing>
            <wp:anchor distT="0" distB="0" distL="114300" distR="114300" simplePos="0" relativeHeight="251660288" behindDoc="0" locked="0" layoutInCell="1" allowOverlap="1" wp14:anchorId="1F461636" wp14:editId="5ECECE30">
              <wp:simplePos x="0" y="0"/>
              <wp:positionH relativeFrom="margin">
                <wp:align>center</wp:align>
              </wp:positionH>
              <wp:positionV relativeFrom="paragraph">
                <wp:posOffset>0</wp:posOffset>
              </wp:positionV>
              <wp:extent cx="1828800" cy="1828800"/>
              <wp:effectExtent l="0" t="0" r="0" b="0"/>
              <wp:wrapNone/>
              <wp:docPr id="2"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EC8E699" w14:textId="77777777" w:rsidR="009A5FB0" w:rsidRDefault="00BF1721">
                          <w:pPr>
                            <w:snapToGrid w:val="0"/>
                            <w:rPr>
                              <w:sz w:val="18"/>
                            </w:rPr>
                          </w:pPr>
                          <w:r>
                            <w:rPr>
                              <w:rFonts w:hint="eastAsia"/>
                              <w:sz w:val="18"/>
                            </w:rPr>
                            <w:t>第</w:t>
                          </w:r>
                          <w:r>
                            <w:rPr>
                              <w:rFonts w:hint="eastAsia"/>
                              <w:sz w:val="18"/>
                            </w:rPr>
                            <w:t xml:space="preserve">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13</w:t>
                          </w:r>
                          <w:r>
                            <w:rPr>
                              <w:rFonts w:hint="eastAsia"/>
                              <w:sz w:val="18"/>
                            </w:rPr>
                            <w:fldChar w:fldCharType="end"/>
                          </w:r>
                          <w:r>
                            <w:rPr>
                              <w:rFonts w:hint="eastAsia"/>
                              <w:sz w:val="18"/>
                            </w:rPr>
                            <w:t xml:space="preserve"> </w:t>
                          </w:r>
                          <w:r>
                            <w:rPr>
                              <w:rFonts w:hint="eastAsia"/>
                              <w:sz w:val="18"/>
                            </w:rPr>
                            <w:t>页</w:t>
                          </w:r>
                        </w:p>
                      </w:txbxContent>
                    </wps:txbx>
                    <wps:bodyPr wrap="none" lIns="0" tIns="0" rIns="0" bIns="0">
                      <a:spAutoFit/>
                    </wps:bodyPr>
                  </wps:wsp>
                </a:graphicData>
              </a:graphic>
            </wp:anchor>
          </w:drawing>
        </mc:Choice>
        <mc:Fallback>
          <w:pict>
            <v:shapetype w14:anchorId="1F461636" id="_x0000_t202" coordsize="21600,21600" o:spt="202" path="m,l,21600r21600,l21600,xe">
              <v:stroke joinstyle="miter"/>
              <v:path gradientshapeok="t" o:connecttype="rect"/>
            </v:shapetype>
            <v:shape id="文本框 8"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" filled="f" stroked="f">
              <v:textbox style="mso-fit-shape-to-text:t" inset="0,0,0,0">
                <w:txbxContent>
                  <w:p w14:paraId="3EC8E699" w14:textId="77777777" w:rsidR="009A5FB0" w:rsidRDefault="00BF1721">
                    <w:pPr>
                      <w:snapToGrid w:val="0"/>
                      <w:rPr>
                        <w:sz w:val="18"/>
                      </w:rPr>
                    </w:pPr>
                    <w:r>
                      <w:rPr>
                        <w:rFonts w:hint="eastAsia"/>
                        <w:sz w:val="18"/>
                      </w:rPr>
                      <w:t>第</w:t>
                    </w:r>
                    <w:r>
                      <w:rPr>
                        <w:rFonts w:hint="eastAsia"/>
                        <w:sz w:val="18"/>
                      </w:rPr>
                      <w:t xml:space="preserve">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13</w:t>
                    </w:r>
                    <w:r>
                      <w:rPr>
                        <w:rFonts w:hint="eastAsia"/>
                        <w:sz w:val="18"/>
                      </w:rPr>
                      <w:fldChar w:fldCharType="end"/>
                    </w:r>
                    <w:r>
                      <w:rPr>
                        <w:rFonts w:hint="eastAsia"/>
                        <w:sz w:val="18"/>
                      </w:rPr>
                      <w:t xml:space="preserve"> </w:t>
                    </w:r>
                    <w:r>
                      <w:rPr>
                        <w:rFonts w:hint="eastAsia"/>
                        <w:sz w:val="18"/>
                      </w:rPr>
                      <w:t>页</w:t>
                    </w:r>
                  </w:p>
                </w:txbxContent>
              </v:textbox>
              <w10:wrap anchorx="margin"/>
            </v:shape>
          </w:pict>
        </mc:Fallback>
      </mc:AlternateContent>
    </w:r>
    <w:r>
      <w:rP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B4B0F" w14:textId="77777777" w:rsidR="00BF1721" w:rsidRDefault="00BF1721">
      <w:r>
        <w:separator/>
      </w:r>
    </w:p>
  </w:footnote>
  <w:footnote w:type="continuationSeparator" w:id="0">
    <w:p w14:paraId="653A59A9" w14:textId="77777777" w:rsidR="00BF1721" w:rsidRDefault="00BF1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B5CF5" w14:textId="77777777" w:rsidR="009A5FB0" w:rsidRDefault="009A5FB0">
    <w:pPr>
      <w:pStyle w:val="a8"/>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8AFF48"/>
    <w:multiLevelType w:val="singleLevel"/>
    <w:tmpl w:val="B98AFF48"/>
    <w:lvl w:ilvl="0">
      <w:start w:val="3"/>
      <w:numFmt w:val="chineseCounting"/>
      <w:suff w:val="nothing"/>
      <w:lvlText w:val="%1、"/>
      <w:lvlJc w:val="left"/>
      <w:rPr>
        <w:rFonts w:hint="eastAsia"/>
      </w:rPr>
    </w:lvl>
  </w:abstractNum>
  <w:abstractNum w:abstractNumId="1" w15:restartNumberingAfterBreak="0">
    <w:nsid w:val="01A24157"/>
    <w:multiLevelType w:val="singleLevel"/>
    <w:tmpl w:val="01A24157"/>
    <w:lvl w:ilvl="0">
      <w:start w:val="1"/>
      <w:numFmt w:val="decimal"/>
      <w:lvlText w:val="%1"/>
      <w:lvlJc w:val="left"/>
      <w:pPr>
        <w:tabs>
          <w:tab w:val="left" w:pos="420"/>
        </w:tabs>
        <w:ind w:left="425" w:hanging="425"/>
      </w:pPr>
      <w:rPr>
        <w:rFonts w:hint="default"/>
      </w:rPr>
    </w:lvl>
  </w:abstractNum>
  <w:abstractNum w:abstractNumId="2" w15:restartNumberingAfterBreak="0">
    <w:nsid w:val="0258D523"/>
    <w:multiLevelType w:val="singleLevel"/>
    <w:tmpl w:val="0258D523"/>
    <w:lvl w:ilvl="0">
      <w:start w:val="1"/>
      <w:numFmt w:val="decimal"/>
      <w:suff w:val="nothing"/>
      <w:lvlText w:val="%1、"/>
      <w:lvlJc w:val="left"/>
      <w:pPr>
        <w:ind w:left="0" w:firstLine="397"/>
      </w:pPr>
      <w:rPr>
        <w:rFonts w:hint="default"/>
      </w:rPr>
    </w:lvl>
  </w:abstractNum>
  <w:abstractNum w:abstractNumId="3" w15:restartNumberingAfterBreak="0">
    <w:nsid w:val="110E7B2E"/>
    <w:multiLevelType w:val="singleLevel"/>
    <w:tmpl w:val="110E7B2E"/>
    <w:lvl w:ilvl="0">
      <w:start w:val="1"/>
      <w:numFmt w:val="decimal"/>
      <w:suff w:val="nothing"/>
      <w:lvlText w:val="%1、"/>
      <w:lvlJc w:val="left"/>
      <w:pPr>
        <w:ind w:left="0" w:firstLine="397"/>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1198D"/>
    <w:rsid w:val="0002000D"/>
    <w:rsid w:val="00022332"/>
    <w:rsid w:val="0002428C"/>
    <w:rsid w:val="000314C8"/>
    <w:rsid w:val="00060D5A"/>
    <w:rsid w:val="000A6DD1"/>
    <w:rsid w:val="000B7773"/>
    <w:rsid w:val="000C793B"/>
    <w:rsid w:val="000E3F95"/>
    <w:rsid w:val="001067AF"/>
    <w:rsid w:val="001177A9"/>
    <w:rsid w:val="00134894"/>
    <w:rsid w:val="001568D0"/>
    <w:rsid w:val="00172A27"/>
    <w:rsid w:val="00175DE2"/>
    <w:rsid w:val="00195020"/>
    <w:rsid w:val="001B4EA1"/>
    <w:rsid w:val="001E1A48"/>
    <w:rsid w:val="001F4576"/>
    <w:rsid w:val="00211D36"/>
    <w:rsid w:val="00220B83"/>
    <w:rsid w:val="002218AF"/>
    <w:rsid w:val="0026463C"/>
    <w:rsid w:val="00272491"/>
    <w:rsid w:val="002876F7"/>
    <w:rsid w:val="002877C9"/>
    <w:rsid w:val="002B6176"/>
    <w:rsid w:val="002C0F58"/>
    <w:rsid w:val="00314FFB"/>
    <w:rsid w:val="003360D2"/>
    <w:rsid w:val="003E4389"/>
    <w:rsid w:val="0043351E"/>
    <w:rsid w:val="00440DCE"/>
    <w:rsid w:val="004437A6"/>
    <w:rsid w:val="004478C5"/>
    <w:rsid w:val="00462B7D"/>
    <w:rsid w:val="00487536"/>
    <w:rsid w:val="004B6AD0"/>
    <w:rsid w:val="004C0C29"/>
    <w:rsid w:val="004C7AE7"/>
    <w:rsid w:val="004D35C5"/>
    <w:rsid w:val="004F0EBF"/>
    <w:rsid w:val="004F7BB2"/>
    <w:rsid w:val="00501BD7"/>
    <w:rsid w:val="005173EE"/>
    <w:rsid w:val="00552C45"/>
    <w:rsid w:val="005753BB"/>
    <w:rsid w:val="005810E7"/>
    <w:rsid w:val="005A36F5"/>
    <w:rsid w:val="005A7982"/>
    <w:rsid w:val="005D5247"/>
    <w:rsid w:val="006612E7"/>
    <w:rsid w:val="00696106"/>
    <w:rsid w:val="006F468B"/>
    <w:rsid w:val="00701C33"/>
    <w:rsid w:val="00793CDA"/>
    <w:rsid w:val="00794749"/>
    <w:rsid w:val="007A4279"/>
    <w:rsid w:val="007B260E"/>
    <w:rsid w:val="007C1DEE"/>
    <w:rsid w:val="00847ED9"/>
    <w:rsid w:val="008518FA"/>
    <w:rsid w:val="00861F43"/>
    <w:rsid w:val="008820A8"/>
    <w:rsid w:val="008B6FFC"/>
    <w:rsid w:val="008E093C"/>
    <w:rsid w:val="008F36B5"/>
    <w:rsid w:val="00903EE9"/>
    <w:rsid w:val="00910FB5"/>
    <w:rsid w:val="00925118"/>
    <w:rsid w:val="00945762"/>
    <w:rsid w:val="0095251C"/>
    <w:rsid w:val="009A5FB0"/>
    <w:rsid w:val="009C66D7"/>
    <w:rsid w:val="00A40ECC"/>
    <w:rsid w:val="00A41202"/>
    <w:rsid w:val="00A77121"/>
    <w:rsid w:val="00A779D0"/>
    <w:rsid w:val="00A90F7C"/>
    <w:rsid w:val="00AA6B86"/>
    <w:rsid w:val="00AF30DE"/>
    <w:rsid w:val="00B35276"/>
    <w:rsid w:val="00B73CB0"/>
    <w:rsid w:val="00BC3EC3"/>
    <w:rsid w:val="00BF1721"/>
    <w:rsid w:val="00C354D3"/>
    <w:rsid w:val="00C53BDF"/>
    <w:rsid w:val="00C6451E"/>
    <w:rsid w:val="00D722A3"/>
    <w:rsid w:val="00D90E84"/>
    <w:rsid w:val="00DA097D"/>
    <w:rsid w:val="00DB5E13"/>
    <w:rsid w:val="00E0517C"/>
    <w:rsid w:val="00E22862"/>
    <w:rsid w:val="00EA7244"/>
    <w:rsid w:val="00ED07A6"/>
    <w:rsid w:val="00EF1A2D"/>
    <w:rsid w:val="00EF5134"/>
    <w:rsid w:val="00F12B99"/>
    <w:rsid w:val="00F43E26"/>
    <w:rsid w:val="00F96151"/>
    <w:rsid w:val="00FA68C0"/>
    <w:rsid w:val="00FD5F36"/>
    <w:rsid w:val="00FE75E6"/>
    <w:rsid w:val="011D0C7C"/>
    <w:rsid w:val="032359A0"/>
    <w:rsid w:val="034C50AE"/>
    <w:rsid w:val="04B518C4"/>
    <w:rsid w:val="05A64F62"/>
    <w:rsid w:val="05EC1618"/>
    <w:rsid w:val="067C4415"/>
    <w:rsid w:val="06B82954"/>
    <w:rsid w:val="07462F52"/>
    <w:rsid w:val="076B3F53"/>
    <w:rsid w:val="078946A2"/>
    <w:rsid w:val="079D0597"/>
    <w:rsid w:val="09A90105"/>
    <w:rsid w:val="09D70F8F"/>
    <w:rsid w:val="0B467ECD"/>
    <w:rsid w:val="0B835913"/>
    <w:rsid w:val="0B9A4AD1"/>
    <w:rsid w:val="0BFD7FBF"/>
    <w:rsid w:val="0C2D4D2D"/>
    <w:rsid w:val="0EC01EBE"/>
    <w:rsid w:val="0F2B6843"/>
    <w:rsid w:val="0F346824"/>
    <w:rsid w:val="0F7306C2"/>
    <w:rsid w:val="103D262C"/>
    <w:rsid w:val="105459C9"/>
    <w:rsid w:val="10C35078"/>
    <w:rsid w:val="13F42B29"/>
    <w:rsid w:val="14CD22E7"/>
    <w:rsid w:val="156D2ED0"/>
    <w:rsid w:val="15AF40AB"/>
    <w:rsid w:val="15CC46FD"/>
    <w:rsid w:val="15F278FC"/>
    <w:rsid w:val="16524B86"/>
    <w:rsid w:val="172E37F7"/>
    <w:rsid w:val="17AF6A00"/>
    <w:rsid w:val="18017E31"/>
    <w:rsid w:val="19BC6D38"/>
    <w:rsid w:val="1A0A3DBE"/>
    <w:rsid w:val="1A793540"/>
    <w:rsid w:val="1A93019A"/>
    <w:rsid w:val="1A9D6632"/>
    <w:rsid w:val="1ACC24B1"/>
    <w:rsid w:val="1EF57A51"/>
    <w:rsid w:val="1FA835A1"/>
    <w:rsid w:val="20034348"/>
    <w:rsid w:val="20877028"/>
    <w:rsid w:val="20A8433A"/>
    <w:rsid w:val="20CB6E2F"/>
    <w:rsid w:val="20FE2B50"/>
    <w:rsid w:val="21214ECE"/>
    <w:rsid w:val="222033A3"/>
    <w:rsid w:val="22285CF2"/>
    <w:rsid w:val="22951073"/>
    <w:rsid w:val="22B30A2B"/>
    <w:rsid w:val="23375C26"/>
    <w:rsid w:val="25002450"/>
    <w:rsid w:val="25144847"/>
    <w:rsid w:val="27724E6C"/>
    <w:rsid w:val="28425023"/>
    <w:rsid w:val="28FA4174"/>
    <w:rsid w:val="29265143"/>
    <w:rsid w:val="29850705"/>
    <w:rsid w:val="2B352240"/>
    <w:rsid w:val="2CE97A1B"/>
    <w:rsid w:val="2DF40E15"/>
    <w:rsid w:val="2E1D22A0"/>
    <w:rsid w:val="32C76FCE"/>
    <w:rsid w:val="34806B0D"/>
    <w:rsid w:val="3491770C"/>
    <w:rsid w:val="355A2ADE"/>
    <w:rsid w:val="3641564F"/>
    <w:rsid w:val="36674474"/>
    <w:rsid w:val="38EA7D7C"/>
    <w:rsid w:val="39687442"/>
    <w:rsid w:val="39AC7D15"/>
    <w:rsid w:val="3A03360D"/>
    <w:rsid w:val="3BC81034"/>
    <w:rsid w:val="3F5B2965"/>
    <w:rsid w:val="3FBC2DBA"/>
    <w:rsid w:val="406D0E0A"/>
    <w:rsid w:val="41A6540A"/>
    <w:rsid w:val="41E85996"/>
    <w:rsid w:val="420A7F41"/>
    <w:rsid w:val="42F60013"/>
    <w:rsid w:val="44112003"/>
    <w:rsid w:val="442C079A"/>
    <w:rsid w:val="443D061B"/>
    <w:rsid w:val="448E71E3"/>
    <w:rsid w:val="45451C4C"/>
    <w:rsid w:val="45613ED6"/>
    <w:rsid w:val="45B06A50"/>
    <w:rsid w:val="474A3E7D"/>
    <w:rsid w:val="47AD545D"/>
    <w:rsid w:val="492F67D2"/>
    <w:rsid w:val="49BC715F"/>
    <w:rsid w:val="4A040358"/>
    <w:rsid w:val="4AC229A4"/>
    <w:rsid w:val="4AF33310"/>
    <w:rsid w:val="4BA40218"/>
    <w:rsid w:val="4C0C7C70"/>
    <w:rsid w:val="4D124284"/>
    <w:rsid w:val="4D9D38F6"/>
    <w:rsid w:val="4DA9304B"/>
    <w:rsid w:val="4EC76CF5"/>
    <w:rsid w:val="50A07D92"/>
    <w:rsid w:val="51145288"/>
    <w:rsid w:val="51897056"/>
    <w:rsid w:val="51FE3D90"/>
    <w:rsid w:val="54764DE7"/>
    <w:rsid w:val="565433E0"/>
    <w:rsid w:val="56FE2BAD"/>
    <w:rsid w:val="5701620E"/>
    <w:rsid w:val="573427E4"/>
    <w:rsid w:val="5A837670"/>
    <w:rsid w:val="5AB56B87"/>
    <w:rsid w:val="5AED1EAF"/>
    <w:rsid w:val="5B6E4D17"/>
    <w:rsid w:val="5C215A76"/>
    <w:rsid w:val="5CCD50EC"/>
    <w:rsid w:val="5CDD55E8"/>
    <w:rsid w:val="61AE5958"/>
    <w:rsid w:val="61D370CA"/>
    <w:rsid w:val="64282A73"/>
    <w:rsid w:val="67CA273C"/>
    <w:rsid w:val="68713E08"/>
    <w:rsid w:val="68727E4A"/>
    <w:rsid w:val="6A2F3CEF"/>
    <w:rsid w:val="6AAA4C0A"/>
    <w:rsid w:val="6B1318F7"/>
    <w:rsid w:val="6C9E645A"/>
    <w:rsid w:val="6D2D2A7F"/>
    <w:rsid w:val="6DCC7741"/>
    <w:rsid w:val="6DCD511D"/>
    <w:rsid w:val="6EE971E8"/>
    <w:rsid w:val="6F02344C"/>
    <w:rsid w:val="6FA94845"/>
    <w:rsid w:val="6FAA1BF6"/>
    <w:rsid w:val="6FDF62E7"/>
    <w:rsid w:val="70023135"/>
    <w:rsid w:val="72357FE3"/>
    <w:rsid w:val="725A3741"/>
    <w:rsid w:val="72DC5558"/>
    <w:rsid w:val="7419677E"/>
    <w:rsid w:val="747A4EC0"/>
    <w:rsid w:val="74B908D5"/>
    <w:rsid w:val="75A630F8"/>
    <w:rsid w:val="760E5ABE"/>
    <w:rsid w:val="764A2D75"/>
    <w:rsid w:val="76737310"/>
    <w:rsid w:val="778231F7"/>
    <w:rsid w:val="77E91DB3"/>
    <w:rsid w:val="797039FE"/>
    <w:rsid w:val="7A227808"/>
    <w:rsid w:val="7AAE0F8E"/>
    <w:rsid w:val="7B896695"/>
    <w:rsid w:val="7BD75C38"/>
    <w:rsid w:val="7BF94C1E"/>
    <w:rsid w:val="7CDF7A9F"/>
    <w:rsid w:val="7DF5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684CFC"/>
  <w15:docId w15:val="{3BBDF1FB-170C-4B41-B5EB-C6CC9F802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ind w:rightChars="73" w:right="153" w:firstLineChars="200" w:firstLine="640"/>
    </w:pPr>
    <w:rPr>
      <w:rFonts w:ascii="仿宋_GB2312" w:eastAsia="仿宋_GB2312"/>
      <w:sz w:val="32"/>
    </w:rPr>
  </w:style>
  <w:style w:type="paragraph" w:styleId="a4">
    <w:name w:val="Block Text"/>
    <w:basedOn w:val="a"/>
    <w:qFormat/>
    <w:pPr>
      <w:spacing w:line="500" w:lineRule="exact"/>
      <w:ind w:left="560" w:rightChars="401" w:right="842" w:hangingChars="200" w:hanging="560"/>
    </w:pPr>
    <w:rPr>
      <w:rFonts w:eastAsia="仿宋_GB2312"/>
      <w:sz w:val="28"/>
      <w:szCs w:val="28"/>
    </w:rPr>
  </w:style>
  <w:style w:type="paragraph" w:styleId="a5">
    <w:name w:val="Date"/>
    <w:basedOn w:val="a"/>
    <w:next w:val="a"/>
    <w:qFormat/>
    <w:pPr>
      <w:ind w:leftChars="2500" w:left="100"/>
    </w:pPr>
    <w:rPr>
      <w:rFonts w:eastAsia="仿宋_GB2312"/>
      <w:sz w:val="44"/>
    </w:rPr>
  </w:style>
  <w:style w:type="paragraph" w:styleId="a6">
    <w:name w:val="Balloon Text"/>
    <w:basedOn w:val="a"/>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qFormat/>
  </w:style>
  <w:style w:type="paragraph" w:customStyle="1" w:styleId="ab">
    <w:name w:val="正文（ｏｋ）"/>
    <w:basedOn w:val="a"/>
    <w:qFormat/>
    <w:pPr>
      <w:spacing w:line="560" w:lineRule="exact"/>
      <w:ind w:firstLineChars="200" w:firstLine="640"/>
    </w:pPr>
    <w:rPr>
      <w:rFonts w:ascii="仿宋_GB2312" w:eastAsia="仿宋_GB2312" w:hAnsi="宋体" w:cs="宋体"/>
      <w:sz w:val="32"/>
      <w:szCs w:val="20"/>
    </w:rPr>
  </w:style>
  <w:style w:type="paragraph" w:customStyle="1" w:styleId="Ac">
    <w:name w:val="正文 A"/>
    <w:qFormat/>
    <w:pPr>
      <w:widowControl w:val="0"/>
      <w:jc w:val="both"/>
    </w:pPr>
    <w:rPr>
      <w:rFonts w:eastAsia="Arial Unicode MS" w:cs="Arial Unicode MS"/>
      <w:color w:val="000000"/>
      <w:kern w:val="2"/>
      <w:sz w:val="21"/>
      <w:szCs w:val="21"/>
      <w:u w:color="000000"/>
    </w:rPr>
  </w:style>
  <w:style w:type="paragraph" w:customStyle="1" w:styleId="1">
    <w:name w:val="列表段落1"/>
    <w:basedOn w:val="a"/>
    <w:qFormat/>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baike.so.com/doc/5384177-5620586.htm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cn.ec51.com/brand/show15438.html" TargetMode="External"/><Relationship Id="rId4" Type="http://schemas.openxmlformats.org/officeDocument/2006/relationships/settings" Target="settings.xml"/><Relationship Id="rId9" Type="http://schemas.openxmlformats.org/officeDocument/2006/relationships/hyperlink" Target="https://baike.so.com/doc/6595828-6809610.html"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1671</Words>
  <Characters>9531</Characters>
  <Application>Microsoft Office Word</Application>
  <DocSecurity>0</DocSecurity>
  <Lines>79</Lines>
  <Paragraphs>22</Paragraphs>
  <ScaleCrop>false</ScaleCrop>
  <Company>Microsoft</Company>
  <LinksUpToDate>false</LinksUpToDate>
  <CharactersWithSpaces>11180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北京师范大学第二附属中学教学楼工程</dc:title>
  <dc:creator>ly</dc:creator>
  <cp:lastModifiedBy>彭涛</cp:lastModifiedBy>
  <cp:revision>3</cp:revision>
  <cp:lastPrinted>2016-06-01T11:07:00Z</cp:lastPrinted>
  <dcterms:created xsi:type="dcterms:W3CDTF">2021-10-26T02:41:00Z</dcterms:created>
  <dcterms:modified xsi:type="dcterms:W3CDTF">2021-10-26T02:41:00Z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0630179890CB4947BD9EE7C6F0A8BCAD</vt:lpwstr>
  </property>
</Properties>
</file>